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BA" w:rsidRDefault="00C11412" w:rsidP="00402A4C">
      <w:pPr>
        <w:spacing w:line="240" w:lineRule="auto"/>
        <w:jc w:val="center"/>
        <w:rPr>
          <w:rFonts w:cs="Calibri"/>
        </w:rPr>
      </w:pPr>
      <w:r>
        <w:rPr>
          <w:rFonts w:cs="Calibri"/>
          <w:noProof/>
          <w:sz w:val="16"/>
          <w:szCs w:val="16"/>
          <w:lang w:val="en-US"/>
        </w:rPr>
        <w:drawing>
          <wp:inline distT="0" distB="0" distL="0" distR="0">
            <wp:extent cx="904875" cy="809625"/>
            <wp:effectExtent l="1905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srcRect/>
                    <a:stretch>
                      <a:fillRect/>
                    </a:stretch>
                  </pic:blipFill>
                  <pic:spPr bwMode="auto">
                    <a:xfrm>
                      <a:off x="0" y="0"/>
                      <a:ext cx="904875" cy="809625"/>
                    </a:xfrm>
                    <a:prstGeom prst="rect">
                      <a:avLst/>
                    </a:prstGeom>
                    <a:solidFill>
                      <a:srgbClr val="FFFFFF"/>
                    </a:solidFill>
                    <a:ln w="9525">
                      <a:noFill/>
                      <a:miter lim="800000"/>
                      <a:headEnd/>
                      <a:tailEnd/>
                    </a:ln>
                  </pic:spPr>
                </pic:pic>
              </a:graphicData>
            </a:graphic>
          </wp:inline>
        </w:drawing>
      </w:r>
    </w:p>
    <w:p w:rsidR="00402A4C" w:rsidRPr="00123D5F" w:rsidRDefault="00402A4C" w:rsidP="00402A4C">
      <w:pPr>
        <w:pStyle w:val="NoSpacing"/>
      </w:pPr>
    </w:p>
    <w:p w:rsidR="004112BA" w:rsidRDefault="00402A4C" w:rsidP="0020611A">
      <w:pPr>
        <w:spacing w:line="240" w:lineRule="auto"/>
        <w:jc w:val="center"/>
        <w:rPr>
          <w:rFonts w:cs="Calibri"/>
          <w:b/>
          <w:sz w:val="28"/>
          <w:szCs w:val="28"/>
        </w:rPr>
      </w:pPr>
      <w:r>
        <w:rPr>
          <w:rFonts w:cs="Calibri"/>
          <w:b/>
          <w:sz w:val="28"/>
          <w:szCs w:val="28"/>
        </w:rPr>
        <w:t>***</w:t>
      </w:r>
      <w:r w:rsidR="002F4D67">
        <w:rPr>
          <w:rFonts w:asciiTheme="minorHAnsi" w:hAnsiTheme="minorHAnsi" w:cstheme="minorHAnsi"/>
          <w:b/>
          <w:sz w:val="28"/>
          <w:szCs w:val="28"/>
        </w:rPr>
        <w:t xml:space="preserve"> </w:t>
      </w:r>
      <w:r w:rsidR="0020611A">
        <w:rPr>
          <w:rFonts w:asciiTheme="minorHAnsi" w:hAnsiTheme="minorHAnsi" w:cstheme="minorHAnsi"/>
          <w:b/>
          <w:sz w:val="28"/>
          <w:szCs w:val="28"/>
        </w:rPr>
        <w:t>P2P lending market on course to grow over 20% in 2017</w:t>
      </w:r>
      <w:r w:rsidR="0020611A">
        <w:rPr>
          <w:rFonts w:cs="Calibri"/>
          <w:b/>
          <w:sz w:val="28"/>
          <w:szCs w:val="28"/>
        </w:rPr>
        <w:t xml:space="preserve"> </w:t>
      </w:r>
      <w:r>
        <w:rPr>
          <w:rFonts w:cs="Calibri"/>
          <w:b/>
          <w:sz w:val="28"/>
          <w:szCs w:val="28"/>
        </w:rPr>
        <w:t>***</w:t>
      </w:r>
    </w:p>
    <w:p w:rsidR="002F4D67" w:rsidRDefault="002F4D67" w:rsidP="002F4D67">
      <w:pPr>
        <w:pStyle w:val="NoSpacing"/>
      </w:pPr>
    </w:p>
    <w:p w:rsidR="007849BB" w:rsidRPr="002F4D67" w:rsidRDefault="002F4D67" w:rsidP="002F4D67">
      <w:pPr>
        <w:spacing w:line="240" w:lineRule="auto"/>
        <w:rPr>
          <w:rFonts w:cs="Calibri"/>
          <w:b/>
          <w:sz w:val="24"/>
          <w:szCs w:val="24"/>
        </w:rPr>
      </w:pPr>
      <w:r w:rsidRPr="002F4D67">
        <w:rPr>
          <w:rFonts w:cs="Calibri"/>
          <w:b/>
          <w:sz w:val="24"/>
          <w:szCs w:val="24"/>
        </w:rPr>
        <w:t>Monday 2 October 2017</w:t>
      </w:r>
    </w:p>
    <w:p w:rsidR="00F361D3" w:rsidRPr="009F7700" w:rsidRDefault="007849BB" w:rsidP="002B2B57">
      <w:pPr>
        <w:spacing w:line="276" w:lineRule="auto"/>
        <w:rPr>
          <w:rFonts w:asciiTheme="minorHAnsi" w:hAnsiTheme="minorHAnsi" w:cstheme="minorHAnsi"/>
          <w:sz w:val="24"/>
          <w:szCs w:val="24"/>
        </w:rPr>
      </w:pPr>
      <w:r w:rsidRPr="009F7700">
        <w:rPr>
          <w:rFonts w:asciiTheme="minorHAnsi" w:hAnsiTheme="minorHAnsi" w:cstheme="minorHAnsi"/>
          <w:sz w:val="24"/>
          <w:szCs w:val="24"/>
        </w:rPr>
        <w:t>As we enter into the final quarter of 2017, peer-to-peer lending is on track to be a record year for growth</w:t>
      </w:r>
      <w:r w:rsidR="00405275">
        <w:rPr>
          <w:rFonts w:asciiTheme="minorHAnsi" w:hAnsiTheme="minorHAnsi" w:cstheme="minorHAnsi"/>
          <w:sz w:val="24"/>
          <w:szCs w:val="24"/>
        </w:rPr>
        <w:t xml:space="preserve">, </w:t>
      </w:r>
      <w:r w:rsidRPr="009F7700">
        <w:rPr>
          <w:rFonts w:asciiTheme="minorHAnsi" w:hAnsiTheme="minorHAnsi" w:cstheme="minorHAnsi"/>
          <w:sz w:val="24"/>
          <w:szCs w:val="24"/>
        </w:rPr>
        <w:t>exceeding 2016 by</w:t>
      </w:r>
      <w:r w:rsidR="003B0536" w:rsidRPr="009F7700">
        <w:rPr>
          <w:rFonts w:asciiTheme="minorHAnsi" w:hAnsiTheme="minorHAnsi" w:cstheme="minorHAnsi"/>
          <w:sz w:val="24"/>
          <w:szCs w:val="24"/>
        </w:rPr>
        <w:t xml:space="preserve"> more than 20 per cent according to 4thWay’s latest analysis of the market</w:t>
      </w:r>
      <w:r w:rsidRPr="009F7700">
        <w:rPr>
          <w:rFonts w:asciiTheme="minorHAnsi" w:hAnsiTheme="minorHAnsi" w:cstheme="minorHAnsi"/>
          <w:sz w:val="24"/>
          <w:szCs w:val="24"/>
        </w:rPr>
        <w:t xml:space="preserve">. </w:t>
      </w:r>
    </w:p>
    <w:p w:rsidR="002B2B57" w:rsidRPr="009F7700" w:rsidRDefault="002B2B57" w:rsidP="002B2B57">
      <w:pPr>
        <w:spacing w:after="0" w:line="240" w:lineRule="auto"/>
        <w:rPr>
          <w:rFonts w:asciiTheme="minorHAnsi" w:eastAsia="Times New Roman" w:hAnsiTheme="minorHAnsi" w:cstheme="minorHAnsi"/>
          <w:b/>
          <w:color w:val="000000"/>
          <w:sz w:val="24"/>
          <w:szCs w:val="24"/>
          <w:lang w:val="en-US"/>
        </w:rPr>
      </w:pPr>
      <w:r w:rsidRPr="009F7700">
        <w:rPr>
          <w:rFonts w:asciiTheme="minorHAnsi" w:eastAsia="Times New Roman" w:hAnsiTheme="minorHAnsi" w:cstheme="minorHAnsi"/>
          <w:b/>
          <w:color w:val="000000"/>
          <w:sz w:val="24"/>
          <w:szCs w:val="24"/>
          <w:lang w:val="en-US"/>
        </w:rPr>
        <w:t xml:space="preserve">Lending in 2017 before end Q3 versus entire 2016 </w:t>
      </w:r>
      <w:r w:rsidRPr="00405275">
        <w:rPr>
          <w:rFonts w:asciiTheme="minorHAnsi" w:eastAsia="Times New Roman" w:hAnsiTheme="minorHAnsi" w:cstheme="minorHAnsi"/>
          <w:color w:val="000000"/>
          <w:sz w:val="24"/>
          <w:szCs w:val="24"/>
          <w:vertAlign w:val="superscript"/>
          <w:lang w:val="en-US"/>
        </w:rPr>
        <w:t>(1)</w:t>
      </w:r>
    </w:p>
    <w:p w:rsidR="002B2B57" w:rsidRPr="009F7700" w:rsidRDefault="002B2B57" w:rsidP="002B2B57">
      <w:pPr>
        <w:spacing w:after="0" w:line="240" w:lineRule="auto"/>
        <w:rPr>
          <w:rFonts w:asciiTheme="minorHAnsi" w:eastAsia="Times New Roman" w:hAnsiTheme="minorHAnsi" w:cstheme="minorHAnsi"/>
          <w:color w:val="000000"/>
          <w:sz w:val="24"/>
          <w:szCs w:val="24"/>
          <w:lang w:val="en-US"/>
        </w:rPr>
      </w:pPr>
    </w:p>
    <w:tbl>
      <w:tblPr>
        <w:tblStyle w:val="TableGrid"/>
        <w:tblW w:w="5000" w:type="pct"/>
        <w:tblLook w:val="04A0"/>
      </w:tblPr>
      <w:tblGrid>
        <w:gridCol w:w="3652"/>
        <w:gridCol w:w="3219"/>
        <w:gridCol w:w="3437"/>
      </w:tblGrid>
      <w:tr w:rsidR="002B2B57" w:rsidRPr="009F7700" w:rsidTr="0056635C">
        <w:trPr>
          <w:trHeight w:val="674"/>
        </w:trPr>
        <w:tc>
          <w:tcPr>
            <w:tcW w:w="1771" w:type="pct"/>
            <w:vAlign w:val="center"/>
          </w:tcPr>
          <w:p w:rsidR="0056635C" w:rsidRPr="009F7700" w:rsidRDefault="002B2B57" w:rsidP="0056635C">
            <w:pPr>
              <w:spacing w:after="0" w:line="276" w:lineRule="auto"/>
              <w:jc w:val="center"/>
              <w:rPr>
                <w:rFonts w:asciiTheme="minorHAnsi" w:eastAsia="Times New Roman" w:hAnsiTheme="minorHAnsi" w:cstheme="minorHAnsi"/>
                <w:b/>
                <w:color w:val="000000"/>
                <w:sz w:val="24"/>
                <w:szCs w:val="24"/>
                <w:lang w:val="en-US"/>
              </w:rPr>
            </w:pPr>
            <w:r w:rsidRPr="009F7700">
              <w:rPr>
                <w:rFonts w:asciiTheme="minorHAnsi" w:eastAsia="Times New Roman" w:hAnsiTheme="minorHAnsi" w:cstheme="minorHAnsi"/>
                <w:b/>
                <w:color w:val="000000"/>
                <w:sz w:val="24"/>
                <w:szCs w:val="24"/>
                <w:lang w:val="en-US"/>
              </w:rPr>
              <w:t>Platform</w:t>
            </w:r>
          </w:p>
        </w:tc>
        <w:tc>
          <w:tcPr>
            <w:tcW w:w="1561" w:type="pct"/>
            <w:vAlign w:val="center"/>
          </w:tcPr>
          <w:p w:rsidR="006128AD" w:rsidRDefault="002B2B57">
            <w:pPr>
              <w:spacing w:after="0" w:line="276" w:lineRule="auto"/>
              <w:jc w:val="center"/>
              <w:rPr>
                <w:rFonts w:asciiTheme="minorHAnsi" w:eastAsia="Times New Roman" w:hAnsiTheme="minorHAnsi" w:cstheme="minorHAnsi"/>
                <w:b/>
                <w:color w:val="000000"/>
                <w:sz w:val="24"/>
                <w:szCs w:val="24"/>
                <w:lang w:val="en-US"/>
              </w:rPr>
            </w:pPr>
            <w:r w:rsidRPr="009F7700">
              <w:rPr>
                <w:rFonts w:asciiTheme="minorHAnsi" w:eastAsia="Times New Roman" w:hAnsiTheme="minorHAnsi" w:cstheme="minorHAnsi"/>
                <w:b/>
                <w:color w:val="000000"/>
                <w:sz w:val="24"/>
                <w:szCs w:val="24"/>
                <w:lang w:val="en-US"/>
              </w:rPr>
              <w:t xml:space="preserve">Total lent </w:t>
            </w:r>
            <w:r w:rsidRPr="009F7700">
              <w:rPr>
                <w:rFonts w:asciiTheme="minorHAnsi" w:eastAsia="Times New Roman" w:hAnsiTheme="minorHAnsi" w:cstheme="minorHAnsi"/>
                <w:b/>
                <w:i/>
                <w:color w:val="000000"/>
                <w:sz w:val="24"/>
                <w:szCs w:val="24"/>
                <w:lang w:val="en-US"/>
              </w:rPr>
              <w:t>so far</w:t>
            </w:r>
            <w:r w:rsidRPr="009F7700">
              <w:rPr>
                <w:rFonts w:asciiTheme="minorHAnsi" w:eastAsia="Times New Roman" w:hAnsiTheme="minorHAnsi" w:cstheme="minorHAnsi"/>
                <w:b/>
                <w:color w:val="000000"/>
                <w:sz w:val="24"/>
                <w:szCs w:val="24"/>
                <w:lang w:val="en-US"/>
              </w:rPr>
              <w:t xml:space="preserve"> in 2017</w:t>
            </w:r>
            <w:r w:rsidR="00C4314A">
              <w:rPr>
                <w:rFonts w:asciiTheme="minorHAnsi" w:eastAsia="Times New Roman" w:hAnsiTheme="minorHAnsi" w:cstheme="minorHAnsi"/>
                <w:b/>
                <w:color w:val="000000"/>
                <w:sz w:val="24"/>
                <w:szCs w:val="24"/>
                <w:lang w:val="en-US"/>
              </w:rPr>
              <w:t xml:space="preserve"> </w:t>
            </w:r>
            <w:r w:rsidR="00AF017C" w:rsidRPr="00AF017C">
              <w:rPr>
                <w:rFonts w:asciiTheme="minorHAnsi" w:eastAsia="Times New Roman" w:hAnsiTheme="minorHAnsi" w:cstheme="minorHAnsi"/>
                <w:color w:val="000000"/>
                <w:sz w:val="24"/>
                <w:szCs w:val="24"/>
                <w:lang w:val="en-US"/>
              </w:rPr>
              <w:t xml:space="preserve">(change </w:t>
            </w:r>
            <w:r w:rsidR="00C4314A">
              <w:rPr>
                <w:rFonts w:asciiTheme="minorHAnsi" w:eastAsia="Times New Roman" w:hAnsiTheme="minorHAnsi" w:cstheme="minorHAnsi"/>
                <w:color w:val="000000"/>
                <w:sz w:val="24"/>
                <w:szCs w:val="24"/>
                <w:lang w:val="en-US"/>
              </w:rPr>
              <w:t>vs</w:t>
            </w:r>
            <w:r w:rsidR="00AF017C" w:rsidRPr="00AF017C">
              <w:rPr>
                <w:rFonts w:asciiTheme="minorHAnsi" w:eastAsia="Times New Roman" w:hAnsiTheme="minorHAnsi" w:cstheme="minorHAnsi"/>
                <w:color w:val="000000"/>
                <w:sz w:val="24"/>
                <w:szCs w:val="24"/>
                <w:lang w:val="en-US"/>
              </w:rPr>
              <w:t xml:space="preserve"> </w:t>
            </w:r>
            <w:r w:rsidR="00AF017C" w:rsidRPr="00AF017C">
              <w:rPr>
                <w:rFonts w:asciiTheme="minorHAnsi" w:eastAsia="Times New Roman" w:hAnsiTheme="minorHAnsi" w:cstheme="minorHAnsi"/>
                <w:i/>
                <w:color w:val="000000"/>
                <w:sz w:val="24"/>
                <w:szCs w:val="24"/>
                <w:lang w:val="en-US"/>
              </w:rPr>
              <w:t>whole</w:t>
            </w:r>
            <w:r w:rsidR="00AF017C" w:rsidRPr="00AF017C">
              <w:rPr>
                <w:rFonts w:asciiTheme="minorHAnsi" w:eastAsia="Times New Roman" w:hAnsiTheme="minorHAnsi" w:cstheme="minorHAnsi"/>
                <w:color w:val="000000"/>
                <w:sz w:val="24"/>
                <w:szCs w:val="24"/>
                <w:lang w:val="en-US"/>
              </w:rPr>
              <w:t xml:space="preserve"> of 2016)</w:t>
            </w:r>
          </w:p>
        </w:tc>
        <w:tc>
          <w:tcPr>
            <w:tcW w:w="1667" w:type="pct"/>
            <w:vAlign w:val="center"/>
          </w:tcPr>
          <w:p w:rsidR="002B2B57" w:rsidRPr="009F7700" w:rsidRDefault="002B2B57" w:rsidP="0056635C">
            <w:pPr>
              <w:spacing w:after="0" w:line="276" w:lineRule="auto"/>
              <w:jc w:val="center"/>
              <w:rPr>
                <w:rFonts w:asciiTheme="minorHAnsi" w:eastAsia="Times New Roman" w:hAnsiTheme="minorHAnsi" w:cstheme="minorHAnsi"/>
                <w:b/>
                <w:color w:val="000000"/>
                <w:sz w:val="24"/>
                <w:szCs w:val="24"/>
                <w:lang w:val="en-US"/>
              </w:rPr>
            </w:pPr>
            <w:r w:rsidRPr="009F7700">
              <w:rPr>
                <w:rFonts w:asciiTheme="minorHAnsi" w:eastAsia="Times New Roman" w:hAnsiTheme="minorHAnsi" w:cstheme="minorHAnsi"/>
                <w:b/>
                <w:color w:val="000000"/>
                <w:sz w:val="24"/>
                <w:szCs w:val="24"/>
                <w:lang w:val="en-US"/>
              </w:rPr>
              <w:t xml:space="preserve">Total lent </w:t>
            </w:r>
            <w:r w:rsidRPr="009F7700">
              <w:rPr>
                <w:rFonts w:asciiTheme="minorHAnsi" w:eastAsia="Times New Roman" w:hAnsiTheme="minorHAnsi" w:cstheme="minorHAnsi"/>
                <w:b/>
                <w:i/>
                <w:color w:val="000000"/>
                <w:sz w:val="24"/>
                <w:szCs w:val="24"/>
                <w:lang w:val="en-US"/>
              </w:rPr>
              <w:t>in whole of</w:t>
            </w:r>
            <w:r w:rsidRPr="009F7700">
              <w:rPr>
                <w:rFonts w:asciiTheme="minorHAnsi" w:eastAsia="Times New Roman" w:hAnsiTheme="minorHAnsi" w:cstheme="minorHAnsi"/>
                <w:b/>
                <w:color w:val="000000"/>
                <w:sz w:val="24"/>
                <w:szCs w:val="24"/>
                <w:lang w:val="en-US"/>
              </w:rPr>
              <w:t xml:space="preserve"> 2016</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Funding Circle</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£865m (+40m)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£825m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Zopa</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£710m (+£20m)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£690m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RateSetter</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£455m (-£210m)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£665m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Octopus Choice</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£100m (+£55m)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£45m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Assetz Capital</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£65m (-£10m)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£75m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FundingSecure</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£75m (+£10m)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£65m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ThinCats</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£35m (-£30m)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£65m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Folk2Folk</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£40m (-£10m)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£50m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Lending Works</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£30m (+£10m)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£20m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MoneyThing</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£30m (same)</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£30m</w:t>
            </w:r>
          </w:p>
        </w:tc>
      </w:tr>
      <w:tr w:rsidR="002B2B57" w:rsidRPr="009F7700" w:rsidTr="0056635C">
        <w:trPr>
          <w:trHeight w:val="674"/>
        </w:trPr>
        <w:tc>
          <w:tcPr>
            <w:tcW w:w="1771" w:type="pct"/>
            <w:vAlign w:val="center"/>
          </w:tcPr>
          <w:p w:rsidR="0056635C"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Proplend</w:t>
            </w:r>
          </w:p>
        </w:tc>
        <w:tc>
          <w:tcPr>
            <w:tcW w:w="1561"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£15m (+£10m)</w:t>
            </w:r>
          </w:p>
        </w:tc>
        <w:tc>
          <w:tcPr>
            <w:tcW w:w="1667" w:type="pct"/>
            <w:vAlign w:val="center"/>
          </w:tcPr>
          <w:p w:rsidR="002B2B57" w:rsidRPr="009F7700" w:rsidRDefault="002B2B57" w:rsidP="0056635C">
            <w:pPr>
              <w:spacing w:after="0" w:line="276" w:lineRule="auto"/>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£5m</w:t>
            </w:r>
          </w:p>
        </w:tc>
      </w:tr>
    </w:tbl>
    <w:p w:rsidR="002B2B57" w:rsidRPr="009F7700" w:rsidRDefault="002B2B57" w:rsidP="0056635C">
      <w:pPr>
        <w:pStyle w:val="NoSpacing"/>
      </w:pPr>
    </w:p>
    <w:p w:rsidR="008B7912" w:rsidRPr="009F7700" w:rsidRDefault="008B7912" w:rsidP="00405275">
      <w:pPr>
        <w:spacing w:after="0" w:line="276" w:lineRule="auto"/>
        <w:jc w:val="both"/>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t xml:space="preserve">The big platforms have been stymied this year by their extraordinarly slow progress in being approved </w:t>
      </w:r>
      <w:r w:rsidR="00405275">
        <w:rPr>
          <w:rFonts w:asciiTheme="minorHAnsi" w:eastAsia="Times New Roman" w:hAnsiTheme="minorHAnsi" w:cstheme="minorHAnsi"/>
          <w:color w:val="000000"/>
          <w:sz w:val="24"/>
          <w:szCs w:val="24"/>
          <w:lang w:val="en-US"/>
        </w:rPr>
        <w:t xml:space="preserve">by the FCA </w:t>
      </w:r>
      <w:r w:rsidRPr="009F7700">
        <w:rPr>
          <w:rFonts w:asciiTheme="minorHAnsi" w:eastAsia="Times New Roman" w:hAnsiTheme="minorHAnsi" w:cstheme="minorHAnsi"/>
          <w:color w:val="000000"/>
          <w:sz w:val="24"/>
          <w:szCs w:val="24"/>
          <w:lang w:val="en-US"/>
        </w:rPr>
        <w:t xml:space="preserve">so that they can offer IFISAs, and Zopa has slowed its lending at the higher-risk end to </w:t>
      </w:r>
      <w:r w:rsidR="00C4314A">
        <w:rPr>
          <w:rFonts w:asciiTheme="minorHAnsi" w:eastAsia="Times New Roman" w:hAnsiTheme="minorHAnsi" w:cstheme="minorHAnsi"/>
          <w:color w:val="000000"/>
          <w:sz w:val="24"/>
          <w:szCs w:val="24"/>
          <w:lang w:val="en-US"/>
        </w:rPr>
        <w:t>dodge</w:t>
      </w:r>
      <w:r w:rsidR="00C4314A" w:rsidRPr="009F7700">
        <w:rPr>
          <w:rFonts w:asciiTheme="minorHAnsi" w:eastAsia="Times New Roman" w:hAnsiTheme="minorHAnsi" w:cstheme="minorHAnsi"/>
          <w:color w:val="000000"/>
          <w:sz w:val="24"/>
          <w:szCs w:val="24"/>
          <w:lang w:val="en-US"/>
        </w:rPr>
        <w:t xml:space="preserve"> </w:t>
      </w:r>
      <w:r w:rsidRPr="009F7700">
        <w:rPr>
          <w:rFonts w:asciiTheme="minorHAnsi" w:eastAsia="Times New Roman" w:hAnsiTheme="minorHAnsi" w:cstheme="minorHAnsi"/>
          <w:color w:val="000000"/>
          <w:sz w:val="24"/>
          <w:szCs w:val="24"/>
          <w:lang w:val="en-US"/>
        </w:rPr>
        <w:t>being swept up in the high-street banks’ personal lending bubble. Even so, a</w:t>
      </w:r>
      <w:r w:rsidR="009C4899" w:rsidRPr="009F7700">
        <w:rPr>
          <w:rFonts w:asciiTheme="minorHAnsi" w:eastAsia="Times New Roman" w:hAnsiTheme="minorHAnsi" w:cstheme="minorHAnsi"/>
          <w:color w:val="000000"/>
          <w:sz w:val="24"/>
          <w:szCs w:val="24"/>
          <w:lang w:val="en-US"/>
        </w:rPr>
        <w:t xml:space="preserve">ll but perhaps RateSetter and ThinCats seem on target to easily beat lending in 2016 </w:t>
      </w:r>
      <w:r w:rsidR="00E0425E" w:rsidRPr="009F7700">
        <w:rPr>
          <w:rFonts w:asciiTheme="minorHAnsi" w:eastAsia="Times New Roman" w:hAnsiTheme="minorHAnsi" w:cstheme="minorHAnsi"/>
          <w:color w:val="000000"/>
          <w:sz w:val="24"/>
          <w:szCs w:val="24"/>
          <w:lang w:val="en-US"/>
        </w:rPr>
        <w:t>by a considerable margin</w:t>
      </w:r>
      <w:r w:rsidR="0056635C">
        <w:rPr>
          <w:rFonts w:asciiTheme="minorHAnsi" w:eastAsia="Times New Roman" w:hAnsiTheme="minorHAnsi" w:cstheme="minorHAnsi"/>
          <w:color w:val="000000"/>
          <w:sz w:val="24"/>
          <w:szCs w:val="24"/>
          <w:lang w:val="en-US"/>
        </w:rPr>
        <w:t>,</w:t>
      </w:r>
      <w:r w:rsidR="00E0425E" w:rsidRPr="009F7700">
        <w:rPr>
          <w:rFonts w:asciiTheme="minorHAnsi" w:eastAsia="Times New Roman" w:hAnsiTheme="minorHAnsi" w:cstheme="minorHAnsi"/>
          <w:color w:val="000000"/>
          <w:sz w:val="24"/>
          <w:szCs w:val="24"/>
          <w:lang w:val="en-US"/>
        </w:rPr>
        <w:t xml:space="preserve"> and</w:t>
      </w:r>
      <w:r w:rsidR="009C4899" w:rsidRPr="009F7700">
        <w:rPr>
          <w:rFonts w:asciiTheme="minorHAnsi" w:eastAsia="Times New Roman" w:hAnsiTheme="minorHAnsi" w:cstheme="minorHAnsi"/>
          <w:color w:val="000000"/>
          <w:sz w:val="24"/>
          <w:szCs w:val="24"/>
          <w:lang w:val="en-US"/>
        </w:rPr>
        <w:t xml:space="preserve"> six have done so already.</w:t>
      </w:r>
      <w:r w:rsidRPr="009F7700">
        <w:rPr>
          <w:rFonts w:asciiTheme="minorHAnsi" w:eastAsia="Times New Roman" w:hAnsiTheme="minorHAnsi" w:cstheme="minorHAnsi"/>
          <w:color w:val="000000"/>
          <w:sz w:val="24"/>
          <w:szCs w:val="24"/>
          <w:lang w:val="en-US"/>
        </w:rPr>
        <w:t xml:space="preserve"> </w:t>
      </w:r>
    </w:p>
    <w:p w:rsidR="00CF71CB" w:rsidRPr="009F7700" w:rsidRDefault="00CF71CB" w:rsidP="00405275">
      <w:pPr>
        <w:pStyle w:val="NoSpacing"/>
        <w:rPr>
          <w:lang w:val="en-US"/>
        </w:rPr>
      </w:pPr>
    </w:p>
    <w:p w:rsidR="003D5C26" w:rsidRDefault="008B7912" w:rsidP="00405275">
      <w:pPr>
        <w:spacing w:after="0" w:line="276" w:lineRule="auto"/>
        <w:jc w:val="both"/>
        <w:rPr>
          <w:rFonts w:asciiTheme="minorHAnsi" w:eastAsia="Times New Roman" w:hAnsiTheme="minorHAnsi" w:cstheme="minorHAnsi"/>
          <w:color w:val="000000"/>
          <w:sz w:val="24"/>
          <w:szCs w:val="24"/>
          <w:lang w:val="en-US"/>
        </w:rPr>
      </w:pPr>
      <w:r w:rsidRPr="009F7700">
        <w:rPr>
          <w:rFonts w:asciiTheme="minorHAnsi" w:eastAsia="Times New Roman" w:hAnsiTheme="minorHAnsi" w:cstheme="minorHAnsi"/>
          <w:color w:val="000000"/>
          <w:sz w:val="24"/>
          <w:szCs w:val="24"/>
          <w:lang w:val="en-US"/>
        </w:rPr>
        <w:lastRenderedPageBreak/>
        <w:t>Despite the long-drawn out release of IFISAs, it looks like t</w:t>
      </w:r>
      <w:r w:rsidR="00E0425E" w:rsidRPr="009F7700">
        <w:rPr>
          <w:rFonts w:asciiTheme="minorHAnsi" w:eastAsia="Times New Roman" w:hAnsiTheme="minorHAnsi" w:cstheme="minorHAnsi"/>
          <w:color w:val="000000"/>
          <w:sz w:val="24"/>
          <w:szCs w:val="24"/>
          <w:lang w:val="en-US"/>
        </w:rPr>
        <w:t xml:space="preserve">otal lending </w:t>
      </w:r>
      <w:r w:rsidRPr="009F7700">
        <w:rPr>
          <w:rFonts w:asciiTheme="minorHAnsi" w:eastAsia="Times New Roman" w:hAnsiTheme="minorHAnsi" w:cstheme="minorHAnsi"/>
          <w:color w:val="000000"/>
          <w:sz w:val="24"/>
          <w:szCs w:val="24"/>
          <w:lang w:val="en-US"/>
        </w:rPr>
        <w:t xml:space="preserve">in 2017 will be 20% to 30% higher than in 2016. In 2016, </w:t>
      </w:r>
      <w:r w:rsidR="00E0425E" w:rsidRPr="009F7700">
        <w:rPr>
          <w:rFonts w:asciiTheme="minorHAnsi" w:eastAsia="Times New Roman" w:hAnsiTheme="minorHAnsi" w:cstheme="minorHAnsi"/>
          <w:color w:val="000000"/>
          <w:sz w:val="24"/>
          <w:szCs w:val="24"/>
          <w:lang w:val="en-US"/>
        </w:rPr>
        <w:t xml:space="preserve">39 </w:t>
      </w:r>
      <w:r w:rsidR="00CF71CB" w:rsidRPr="009F7700">
        <w:rPr>
          <w:rFonts w:asciiTheme="minorHAnsi" w:eastAsia="Times New Roman" w:hAnsiTheme="minorHAnsi" w:cstheme="minorHAnsi"/>
          <w:color w:val="000000"/>
          <w:sz w:val="24"/>
          <w:szCs w:val="24"/>
          <w:lang w:val="en-US"/>
        </w:rPr>
        <w:t>platforms</w:t>
      </w:r>
      <w:r w:rsidR="00E0425E" w:rsidRPr="009F7700">
        <w:rPr>
          <w:rFonts w:asciiTheme="minorHAnsi" w:eastAsia="Times New Roman" w:hAnsiTheme="minorHAnsi" w:cstheme="minorHAnsi"/>
          <w:color w:val="000000"/>
          <w:sz w:val="24"/>
          <w:szCs w:val="24"/>
          <w:lang w:val="en-US"/>
        </w:rPr>
        <w:t xml:space="preserve"> in the wider industry lent £3.16 </w:t>
      </w:r>
      <w:r w:rsidRPr="009F7700">
        <w:rPr>
          <w:rFonts w:asciiTheme="minorHAnsi" w:eastAsia="Times New Roman" w:hAnsiTheme="minorHAnsi" w:cstheme="minorHAnsi"/>
          <w:color w:val="000000"/>
          <w:sz w:val="24"/>
          <w:szCs w:val="24"/>
          <w:lang w:val="en-US"/>
        </w:rPr>
        <w:t>billion</w:t>
      </w:r>
      <w:r w:rsidR="00E0425E" w:rsidRPr="009F7700">
        <w:rPr>
          <w:rFonts w:asciiTheme="minorHAnsi" w:eastAsia="Times New Roman" w:hAnsiTheme="minorHAnsi" w:cstheme="minorHAnsi"/>
          <w:color w:val="000000"/>
          <w:sz w:val="24"/>
          <w:szCs w:val="24"/>
          <w:lang w:val="en-US"/>
        </w:rPr>
        <w:t xml:space="preserve"> </w:t>
      </w:r>
      <w:r w:rsidR="00E0425E" w:rsidRPr="00405275">
        <w:rPr>
          <w:rFonts w:asciiTheme="minorHAnsi" w:eastAsia="Times New Roman" w:hAnsiTheme="minorHAnsi" w:cstheme="minorHAnsi"/>
          <w:color w:val="000000"/>
          <w:sz w:val="24"/>
          <w:szCs w:val="24"/>
          <w:vertAlign w:val="superscript"/>
          <w:lang w:val="en-US"/>
        </w:rPr>
        <w:t>(</w:t>
      </w:r>
      <w:r w:rsidR="00405275" w:rsidRPr="00405275">
        <w:rPr>
          <w:rFonts w:asciiTheme="minorHAnsi" w:eastAsia="Times New Roman" w:hAnsiTheme="minorHAnsi" w:cstheme="minorHAnsi"/>
          <w:color w:val="000000"/>
          <w:sz w:val="24"/>
          <w:szCs w:val="24"/>
          <w:vertAlign w:val="superscript"/>
          <w:lang w:val="en-US"/>
        </w:rPr>
        <w:t>2</w:t>
      </w:r>
      <w:r w:rsidR="00E0425E" w:rsidRPr="00405275">
        <w:rPr>
          <w:rFonts w:asciiTheme="minorHAnsi" w:eastAsia="Times New Roman" w:hAnsiTheme="minorHAnsi" w:cstheme="minorHAnsi"/>
          <w:color w:val="000000"/>
          <w:sz w:val="24"/>
          <w:szCs w:val="24"/>
          <w:vertAlign w:val="superscript"/>
          <w:lang w:val="en-US"/>
        </w:rPr>
        <w:t>)</w:t>
      </w:r>
      <w:r w:rsidR="00CF71CB" w:rsidRPr="009F7700">
        <w:rPr>
          <w:rFonts w:asciiTheme="minorHAnsi" w:eastAsia="Times New Roman" w:hAnsiTheme="minorHAnsi" w:cstheme="minorHAnsi"/>
          <w:color w:val="000000"/>
          <w:sz w:val="24"/>
          <w:szCs w:val="24"/>
          <w:lang w:val="en-US"/>
        </w:rPr>
        <w:t>.</w:t>
      </w:r>
    </w:p>
    <w:p w:rsidR="003D5C26" w:rsidRDefault="003D5C26" w:rsidP="00F361D3">
      <w:pPr>
        <w:spacing w:after="0" w:line="240" w:lineRule="auto"/>
        <w:rPr>
          <w:rFonts w:ascii="Arial" w:eastAsia="Times New Roman" w:hAnsi="Arial" w:cs="Arial"/>
          <w:color w:val="000000"/>
          <w:lang w:val="en-US"/>
        </w:rPr>
      </w:pPr>
    </w:p>
    <w:p w:rsidR="00F361D3" w:rsidRPr="001815FD" w:rsidRDefault="001815FD" w:rsidP="00F361D3">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b/>
          <w:color w:val="000000"/>
          <w:sz w:val="24"/>
          <w:szCs w:val="24"/>
          <w:lang w:val="en-US"/>
        </w:rPr>
        <w:t>What do the big platforms look like in 2017?</w:t>
      </w:r>
      <w:r w:rsidR="0056635C" w:rsidRPr="001815FD">
        <w:rPr>
          <w:rFonts w:asciiTheme="minorHAnsi" w:eastAsia="Times New Roman" w:hAnsiTheme="minorHAnsi" w:cstheme="minorHAnsi"/>
          <w:color w:val="000000"/>
          <w:sz w:val="24"/>
          <w:szCs w:val="24"/>
          <w:lang w:val="en-US"/>
        </w:rPr>
        <w:t xml:space="preserve"> </w:t>
      </w:r>
      <w:r w:rsidR="000F5986" w:rsidRPr="001815FD">
        <w:rPr>
          <w:rFonts w:asciiTheme="minorHAnsi" w:eastAsia="Times New Roman" w:hAnsiTheme="minorHAnsi" w:cstheme="minorHAnsi"/>
          <w:color w:val="000000"/>
          <w:sz w:val="24"/>
          <w:szCs w:val="24"/>
          <w:vertAlign w:val="superscript"/>
          <w:lang w:val="en-US"/>
        </w:rPr>
        <w:t>(</w:t>
      </w:r>
      <w:r>
        <w:rPr>
          <w:rFonts w:asciiTheme="minorHAnsi" w:eastAsia="Times New Roman" w:hAnsiTheme="minorHAnsi" w:cstheme="minorHAnsi"/>
          <w:color w:val="000000"/>
          <w:sz w:val="24"/>
          <w:szCs w:val="24"/>
          <w:vertAlign w:val="superscript"/>
          <w:lang w:val="en-US"/>
        </w:rPr>
        <w:t>3</w:t>
      </w:r>
      <w:r w:rsidR="000F5986" w:rsidRPr="001815FD">
        <w:rPr>
          <w:rFonts w:asciiTheme="minorHAnsi" w:eastAsia="Times New Roman" w:hAnsiTheme="minorHAnsi" w:cstheme="minorHAnsi"/>
          <w:color w:val="000000"/>
          <w:sz w:val="24"/>
          <w:szCs w:val="24"/>
          <w:vertAlign w:val="superscript"/>
          <w:lang w:val="en-US"/>
        </w:rPr>
        <w:t>)</w:t>
      </w:r>
    </w:p>
    <w:p w:rsidR="00F361D3" w:rsidRPr="00F361D3" w:rsidRDefault="00F361D3" w:rsidP="00F361D3">
      <w:pPr>
        <w:spacing w:after="0" w:line="240" w:lineRule="auto"/>
        <w:rPr>
          <w:rFonts w:ascii="Times New Roman" w:eastAsia="Times New Roman" w:hAnsi="Times New Roman"/>
          <w:sz w:val="24"/>
          <w:szCs w:val="24"/>
          <w:lang w:val="en-US"/>
        </w:rPr>
      </w:pPr>
    </w:p>
    <w:tbl>
      <w:tblPr>
        <w:tblW w:w="11199" w:type="dxa"/>
        <w:tblInd w:w="-467" w:type="dxa"/>
        <w:tblLayout w:type="fixed"/>
        <w:tblCellMar>
          <w:top w:w="15" w:type="dxa"/>
          <w:left w:w="15" w:type="dxa"/>
          <w:bottom w:w="15" w:type="dxa"/>
          <w:right w:w="15" w:type="dxa"/>
        </w:tblCellMar>
        <w:tblLook w:val="04A0"/>
      </w:tblPr>
      <w:tblGrid>
        <w:gridCol w:w="2694"/>
        <w:gridCol w:w="2409"/>
        <w:gridCol w:w="2552"/>
        <w:gridCol w:w="3544"/>
      </w:tblGrid>
      <w:tr w:rsidR="00C7792D" w:rsidRPr="00F361D3" w:rsidTr="009F5772">
        <w:tc>
          <w:tcPr>
            <w:tcW w:w="2694"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C7792D" w:rsidRPr="00F361D3" w:rsidRDefault="00C7792D" w:rsidP="00F361D3">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b/>
                <w:bCs/>
                <w:sz w:val="24"/>
                <w:szCs w:val="24"/>
                <w:lang w:val="en-US"/>
              </w:rPr>
              <w:t>Platform / description</w:t>
            </w:r>
          </w:p>
        </w:tc>
        <w:tc>
          <w:tcPr>
            <w:tcW w:w="2409"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A930B9" w:rsidRDefault="00C7792D" w:rsidP="00F361D3">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b/>
                <w:bCs/>
                <w:sz w:val="24"/>
                <w:szCs w:val="24"/>
                <w:lang w:val="en-US"/>
              </w:rPr>
              <w:t>Target, expected or actual net lending interest</w:t>
            </w:r>
          </w:p>
          <w:p w:rsidR="007C4F7D" w:rsidRDefault="007C4F7D" w:rsidP="00F361D3">
            <w:pPr>
              <w:spacing w:after="0" w:line="0" w:lineRule="atLeast"/>
              <w:rPr>
                <w:rFonts w:asciiTheme="minorHAnsi" w:eastAsia="Times New Roman" w:hAnsiTheme="minorHAnsi" w:cstheme="minorHAnsi"/>
                <w:sz w:val="24"/>
                <w:szCs w:val="24"/>
                <w:lang w:val="en-US"/>
              </w:rPr>
            </w:pPr>
          </w:p>
          <w:p w:rsidR="007C4F7D" w:rsidRPr="007C4F7D" w:rsidRDefault="007C4F7D" w:rsidP="00F361D3">
            <w:pPr>
              <w:spacing w:after="0" w:line="0" w:lineRule="atLeast"/>
              <w:rPr>
                <w:rFonts w:asciiTheme="minorHAnsi" w:eastAsia="Times New Roman" w:hAnsiTheme="minorHAnsi" w:cstheme="minorHAnsi"/>
                <w:i/>
                <w:sz w:val="24"/>
                <w:szCs w:val="24"/>
                <w:lang w:val="en-US"/>
              </w:rPr>
            </w:pPr>
            <w:r>
              <w:rPr>
                <w:rFonts w:asciiTheme="minorHAnsi" w:eastAsia="Times New Roman" w:hAnsiTheme="minorHAnsi" w:cstheme="minorHAnsi"/>
                <w:i/>
                <w:sz w:val="24"/>
                <w:szCs w:val="24"/>
                <w:lang w:val="en-US"/>
              </w:rPr>
              <w:t>Change on 15 months ago</w:t>
            </w:r>
          </w:p>
        </w:tc>
        <w:tc>
          <w:tcPr>
            <w:tcW w:w="2552"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C7792D" w:rsidRDefault="00C7792D" w:rsidP="00F361D3">
            <w:pPr>
              <w:spacing w:after="0" w:line="0" w:lineRule="atLeast"/>
              <w:rPr>
                <w:rFonts w:asciiTheme="minorHAnsi" w:eastAsia="Times New Roman" w:hAnsiTheme="minorHAnsi" w:cstheme="minorHAnsi"/>
                <w:b/>
                <w:bCs/>
                <w:sz w:val="24"/>
                <w:szCs w:val="24"/>
                <w:lang w:val="en-US"/>
              </w:rPr>
            </w:pPr>
            <w:r w:rsidRPr="00F361D3">
              <w:rPr>
                <w:rFonts w:asciiTheme="minorHAnsi" w:eastAsia="Times New Roman" w:hAnsiTheme="minorHAnsi" w:cstheme="minorHAnsi"/>
                <w:b/>
                <w:bCs/>
                <w:sz w:val="24"/>
                <w:szCs w:val="24"/>
                <w:lang w:val="en-US"/>
              </w:rPr>
              <w:t>Bad &amp; late debts in past 2yrs</w:t>
            </w:r>
          </w:p>
          <w:p w:rsidR="00BB3338" w:rsidRDefault="00BB3338" w:rsidP="00F361D3">
            <w:pPr>
              <w:spacing w:after="0" w:line="0" w:lineRule="atLeast"/>
              <w:rPr>
                <w:rFonts w:asciiTheme="minorHAnsi" w:eastAsia="Times New Roman" w:hAnsiTheme="minorHAnsi" w:cstheme="minorHAnsi"/>
                <w:b/>
                <w:bCs/>
                <w:sz w:val="24"/>
                <w:szCs w:val="24"/>
                <w:lang w:val="en-US"/>
              </w:rPr>
            </w:pPr>
          </w:p>
          <w:p w:rsidR="00BB3338" w:rsidRPr="007C4F7D" w:rsidRDefault="007C4F7D" w:rsidP="00F361D3">
            <w:pPr>
              <w:spacing w:after="0" w:line="0" w:lineRule="atLeast"/>
              <w:rPr>
                <w:rFonts w:asciiTheme="minorHAnsi" w:eastAsia="Times New Roman" w:hAnsiTheme="minorHAnsi" w:cstheme="minorHAnsi"/>
                <w:i/>
                <w:sz w:val="24"/>
                <w:szCs w:val="24"/>
                <w:lang w:val="en-US"/>
              </w:rPr>
            </w:pPr>
            <w:r w:rsidRPr="007C4F7D">
              <w:rPr>
                <w:rFonts w:asciiTheme="minorHAnsi" w:eastAsia="Times New Roman" w:hAnsiTheme="minorHAnsi" w:cstheme="minorHAnsi"/>
                <w:bCs/>
                <w:i/>
                <w:sz w:val="24"/>
                <w:szCs w:val="24"/>
                <w:lang w:val="en-US"/>
              </w:rPr>
              <w:t>Suggestive risk by 4thWay’s standard measures</w:t>
            </w:r>
          </w:p>
        </w:tc>
        <w:tc>
          <w:tcPr>
            <w:tcW w:w="3544"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C7792D" w:rsidRPr="00F361D3" w:rsidRDefault="00C7792D" w:rsidP="00F361D3">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b/>
                <w:bCs/>
                <w:sz w:val="24"/>
                <w:szCs w:val="24"/>
                <w:lang w:val="en-US"/>
              </w:rPr>
              <w:t>Substantial protections</w:t>
            </w:r>
          </w:p>
        </w:tc>
      </w:tr>
      <w:tr w:rsidR="00C7792D" w:rsidRPr="00F361D3" w:rsidTr="009F577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F361D3" w:rsidRDefault="00C7792D" w:rsidP="00F361D3">
            <w:pPr>
              <w:spacing w:after="0" w:line="240" w:lineRule="auto"/>
              <w:rPr>
                <w:rFonts w:asciiTheme="minorHAnsi" w:eastAsia="Times New Roman" w:hAnsiTheme="minorHAnsi" w:cstheme="minorHAnsi"/>
                <w:b/>
                <w:sz w:val="24"/>
                <w:szCs w:val="24"/>
                <w:lang w:val="en-US"/>
              </w:rPr>
            </w:pPr>
            <w:r w:rsidRPr="00F361D3">
              <w:rPr>
                <w:rFonts w:asciiTheme="minorHAnsi" w:eastAsia="Times New Roman" w:hAnsiTheme="minorHAnsi" w:cstheme="minorHAnsi"/>
                <w:b/>
                <w:color w:val="000000"/>
                <w:sz w:val="24"/>
                <w:szCs w:val="24"/>
                <w:lang w:val="en-US"/>
              </w:rPr>
              <w:t>Funding Circle</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C7792D" w:rsidP="00F361D3">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Unsecured business loans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A9244E" w:rsidRDefault="00C7792D" w:rsidP="00F361D3">
            <w:pPr>
              <w:spacing w:after="0" w:line="240" w:lineRule="auto"/>
              <w:rPr>
                <w:rFonts w:asciiTheme="minorHAnsi" w:eastAsia="Times New Roman" w:hAnsiTheme="minorHAnsi" w:cstheme="minorHAnsi"/>
                <w:sz w:val="24"/>
                <w:szCs w:val="24"/>
                <w:lang w:val="en-US"/>
              </w:rPr>
            </w:pPr>
            <w:r w:rsidRPr="00A9244E">
              <w:rPr>
                <w:rFonts w:asciiTheme="minorHAnsi" w:eastAsia="Times New Roman" w:hAnsiTheme="minorHAnsi" w:cstheme="minorHAnsi"/>
                <w:color w:val="000000"/>
                <w:lang w:val="en-US"/>
              </w:rPr>
              <w:t>Up to 7.5%</w:t>
            </w:r>
          </w:p>
          <w:p w:rsidR="00C7792D" w:rsidRPr="00A9244E" w:rsidRDefault="00C7792D" w:rsidP="00F361D3">
            <w:pPr>
              <w:spacing w:after="0" w:line="240" w:lineRule="auto"/>
              <w:rPr>
                <w:rFonts w:asciiTheme="minorHAnsi" w:eastAsia="Times New Roman" w:hAnsiTheme="minorHAnsi" w:cstheme="minorHAnsi"/>
                <w:i/>
                <w:sz w:val="24"/>
                <w:szCs w:val="24"/>
                <w:lang w:val="en-US"/>
              </w:rPr>
            </w:pPr>
          </w:p>
          <w:p w:rsidR="00C7792D" w:rsidRPr="00A9244E" w:rsidRDefault="00A9244E" w:rsidP="00A9244E">
            <w:pPr>
              <w:spacing w:after="0" w:line="0" w:lineRule="atLeast"/>
              <w:rPr>
                <w:rFonts w:asciiTheme="minorHAnsi" w:eastAsia="Times New Roman" w:hAnsiTheme="minorHAnsi" w:cstheme="minorHAnsi"/>
                <w:i/>
                <w:sz w:val="24"/>
                <w:szCs w:val="24"/>
                <w:lang w:val="en-US"/>
              </w:rPr>
            </w:pPr>
            <w:r w:rsidRPr="00A9244E">
              <w:rPr>
                <w:rFonts w:asciiTheme="minorHAnsi" w:eastAsia="Times New Roman" w:hAnsiTheme="minorHAnsi" w:cstheme="minorHAnsi"/>
                <w:i/>
                <w:color w:val="000000"/>
                <w:lang w:val="en-US"/>
              </w:rPr>
              <w:t>Up from</w:t>
            </w:r>
            <w:r w:rsidR="00C7792D" w:rsidRPr="00A9244E">
              <w:rPr>
                <w:rFonts w:asciiTheme="minorHAnsi" w:eastAsia="Times New Roman" w:hAnsiTheme="minorHAnsi" w:cstheme="minorHAnsi"/>
                <w:i/>
                <w:color w:val="000000"/>
                <w:lang w:val="en-US"/>
              </w:rPr>
              <w:t xml:space="preserve"> </w:t>
            </w:r>
            <w:r w:rsidRPr="00A9244E">
              <w:rPr>
                <w:rFonts w:asciiTheme="minorHAnsi" w:eastAsia="Times New Roman" w:hAnsiTheme="minorHAnsi" w:cstheme="minorHAnsi"/>
                <w:i/>
                <w:color w:val="000000"/>
                <w:lang w:val="en-US"/>
              </w:rPr>
              <w:t>6.9</w:t>
            </w:r>
            <w:r w:rsidR="00816C14">
              <w:rPr>
                <w:rFonts w:asciiTheme="minorHAnsi" w:eastAsia="Times New Roman" w:hAnsiTheme="minorHAnsi" w:cstheme="minorHAnsi"/>
                <w:i/>
                <w:color w:val="000000"/>
                <w:lang w:val="en-US"/>
              </w:rPr>
              <w:t>%</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A9244E" w:rsidRDefault="00C7792D" w:rsidP="00F361D3">
            <w:pPr>
              <w:spacing w:after="0" w:line="240" w:lineRule="auto"/>
              <w:rPr>
                <w:rFonts w:asciiTheme="minorHAnsi" w:eastAsia="Times New Roman" w:hAnsiTheme="minorHAnsi" w:cstheme="minorHAnsi"/>
                <w:i/>
                <w:sz w:val="24"/>
                <w:szCs w:val="24"/>
                <w:lang w:val="en-US"/>
              </w:rPr>
            </w:pPr>
            <w:r w:rsidRPr="00A9244E">
              <w:rPr>
                <w:rFonts w:asciiTheme="minorHAnsi" w:eastAsia="Times New Roman" w:hAnsiTheme="minorHAnsi" w:cstheme="minorHAnsi"/>
                <w:i/>
                <w:color w:val="000000"/>
                <w:lang w:val="en-US"/>
              </w:rPr>
              <w:t>39/1,000 loans</w:t>
            </w:r>
          </w:p>
          <w:p w:rsidR="00C7792D" w:rsidRPr="00A9244E" w:rsidRDefault="00C7792D" w:rsidP="00F361D3">
            <w:pPr>
              <w:spacing w:after="0" w:line="240" w:lineRule="auto"/>
              <w:rPr>
                <w:rFonts w:asciiTheme="minorHAnsi" w:eastAsia="Times New Roman" w:hAnsiTheme="minorHAnsi" w:cstheme="minorHAnsi"/>
                <w:i/>
                <w:sz w:val="24"/>
                <w:szCs w:val="24"/>
                <w:lang w:val="en-US"/>
              </w:rPr>
            </w:pPr>
          </w:p>
          <w:p w:rsidR="00C7792D" w:rsidRPr="00A9244E" w:rsidRDefault="00C7792D" w:rsidP="007F5871">
            <w:pPr>
              <w:spacing w:after="0" w:line="0" w:lineRule="atLeast"/>
              <w:rPr>
                <w:rFonts w:asciiTheme="minorHAnsi" w:eastAsia="Times New Roman" w:hAnsiTheme="minorHAnsi" w:cstheme="minorHAnsi"/>
                <w:i/>
                <w:sz w:val="24"/>
                <w:szCs w:val="24"/>
                <w:lang w:val="en-US"/>
              </w:rPr>
            </w:pPr>
            <w:r w:rsidRPr="00A9244E">
              <w:rPr>
                <w:rFonts w:asciiTheme="minorHAnsi" w:eastAsia="Times New Roman" w:hAnsiTheme="minorHAnsi" w:cstheme="minorHAnsi"/>
                <w:i/>
                <w:color w:val="000000"/>
                <w:lang w:val="en-US"/>
              </w:rPr>
              <w:t>Suggestive of low</w:t>
            </w:r>
            <w:r w:rsidR="007F5871" w:rsidRPr="00A9244E">
              <w:rPr>
                <w:rFonts w:asciiTheme="minorHAnsi" w:eastAsia="Times New Roman" w:hAnsiTheme="minorHAnsi" w:cstheme="minorHAnsi"/>
                <w:i/>
                <w:color w:val="000000"/>
                <w:lang w:val="en-US"/>
              </w:rPr>
              <w:t xml:space="preserve"> to medium-</w:t>
            </w:r>
            <w:r w:rsidRPr="00A9244E">
              <w:rPr>
                <w:rFonts w:asciiTheme="minorHAnsi" w:eastAsia="Times New Roman" w:hAnsiTheme="minorHAnsi" w:cstheme="minorHAnsi"/>
                <w:i/>
                <w:color w:val="000000"/>
                <w:lang w:val="en-US"/>
              </w:rPr>
              <w:t>risk business borrowers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F361D3" w:rsidRDefault="00C7792D" w:rsidP="00F361D3">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E</w:t>
            </w:r>
            <w:r w:rsidR="00816C14">
              <w:rPr>
                <w:rFonts w:asciiTheme="minorHAnsi" w:eastAsia="Times New Roman" w:hAnsiTheme="minorHAnsi" w:cstheme="minorHAnsi"/>
                <w:color w:val="000000"/>
                <w:lang w:val="en-US"/>
              </w:rPr>
              <w:t>mphasis on lower-risk borrowers</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C7792D" w:rsidP="00F361D3">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Borrowers pay up to 22%, giving adequate cover against risks</w:t>
            </w:r>
          </w:p>
        </w:tc>
      </w:tr>
      <w:tr w:rsidR="00C7792D" w:rsidRPr="00F361D3" w:rsidTr="009F577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F361D3" w:rsidRDefault="00C7792D" w:rsidP="00F361D3">
            <w:pPr>
              <w:spacing w:after="0" w:line="240" w:lineRule="auto"/>
              <w:rPr>
                <w:rFonts w:asciiTheme="minorHAnsi" w:eastAsia="Times New Roman" w:hAnsiTheme="minorHAnsi" w:cstheme="minorHAnsi"/>
                <w:b/>
                <w:sz w:val="24"/>
                <w:szCs w:val="24"/>
                <w:lang w:val="en-US"/>
              </w:rPr>
            </w:pPr>
            <w:r w:rsidRPr="00F361D3">
              <w:rPr>
                <w:rFonts w:asciiTheme="minorHAnsi" w:eastAsia="Times New Roman" w:hAnsiTheme="minorHAnsi" w:cstheme="minorHAnsi"/>
                <w:b/>
                <w:color w:val="000000"/>
                <w:sz w:val="24"/>
                <w:szCs w:val="24"/>
                <w:lang w:val="en-US"/>
              </w:rPr>
              <w:t>Zopa</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C7792D" w:rsidP="00F361D3">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Unsecured personal loans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F361D3" w:rsidRDefault="00C7792D" w:rsidP="00F361D3">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Up to 4.5%</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A9244E" w:rsidRDefault="00A9244E" w:rsidP="00A9244E">
            <w:pPr>
              <w:spacing w:after="0" w:line="0" w:lineRule="atLeast"/>
              <w:rPr>
                <w:rFonts w:asciiTheme="minorHAnsi" w:eastAsia="Times New Roman" w:hAnsiTheme="minorHAnsi" w:cstheme="minorHAnsi"/>
                <w:i/>
                <w:sz w:val="24"/>
                <w:szCs w:val="24"/>
                <w:lang w:val="en-US"/>
              </w:rPr>
            </w:pPr>
            <w:r w:rsidRPr="00A9244E">
              <w:rPr>
                <w:rFonts w:asciiTheme="minorHAnsi" w:eastAsia="Times New Roman" w:hAnsiTheme="minorHAnsi" w:cstheme="minorHAnsi"/>
                <w:i/>
                <w:color w:val="000000"/>
                <w:lang w:val="en-US"/>
              </w:rPr>
              <w:t>Rates unchanged</w:t>
            </w:r>
            <w:r w:rsidR="00C7792D" w:rsidRPr="00A9244E">
              <w:rPr>
                <w:rFonts w:asciiTheme="minorHAnsi" w:eastAsia="Times New Roman" w:hAnsiTheme="minorHAnsi" w:cstheme="minorHAnsi"/>
                <w:i/>
                <w:color w:val="000000"/>
                <w:lang w:val="en-US"/>
              </w:rPr>
              <w:t>, but with some higher risk loans thrown in</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F361D3" w:rsidRDefault="00C7792D" w:rsidP="00F361D3">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38/1,000 loans</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A9244E" w:rsidRDefault="007F5871" w:rsidP="007F5871">
            <w:pPr>
              <w:spacing w:after="0" w:line="0" w:lineRule="atLeast"/>
              <w:rPr>
                <w:rFonts w:asciiTheme="minorHAnsi" w:eastAsia="Times New Roman" w:hAnsiTheme="minorHAnsi" w:cstheme="minorHAnsi"/>
                <w:i/>
                <w:sz w:val="24"/>
                <w:szCs w:val="24"/>
                <w:lang w:val="en-US"/>
              </w:rPr>
            </w:pPr>
            <w:r w:rsidRPr="00A9244E">
              <w:rPr>
                <w:rFonts w:asciiTheme="minorHAnsi" w:eastAsia="Times New Roman" w:hAnsiTheme="minorHAnsi" w:cstheme="minorHAnsi"/>
                <w:i/>
                <w:color w:val="000000"/>
                <w:lang w:val="en-US"/>
              </w:rPr>
              <w:t>Suggestive of low-</w:t>
            </w:r>
            <w:r w:rsidR="00C7792D" w:rsidRPr="00A9244E">
              <w:rPr>
                <w:rFonts w:asciiTheme="minorHAnsi" w:eastAsia="Times New Roman" w:hAnsiTheme="minorHAnsi" w:cstheme="minorHAnsi"/>
                <w:i/>
                <w:color w:val="000000"/>
                <w:lang w:val="en-US"/>
              </w:rPr>
              <w:t xml:space="preserve">risk </w:t>
            </w:r>
            <w:r w:rsidRPr="00A9244E">
              <w:rPr>
                <w:rFonts w:asciiTheme="minorHAnsi" w:eastAsia="Times New Roman" w:hAnsiTheme="minorHAnsi" w:cstheme="minorHAnsi"/>
                <w:i/>
                <w:color w:val="000000"/>
                <w:lang w:val="en-US"/>
              </w:rPr>
              <w:t>individual borrowers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Default="00C7792D" w:rsidP="00F361D3">
            <w:pPr>
              <w:spacing w:after="0" w:line="240" w:lineRule="auto"/>
              <w:rPr>
                <w:rFonts w:asciiTheme="minorHAnsi" w:eastAsia="Times New Roman" w:hAnsiTheme="minorHAnsi" w:cstheme="minorHAnsi"/>
                <w:color w:val="000000"/>
                <w:lang w:val="en-US"/>
              </w:rPr>
            </w:pPr>
            <w:r w:rsidRPr="00F361D3">
              <w:rPr>
                <w:rFonts w:asciiTheme="minorHAnsi" w:eastAsia="Times New Roman" w:hAnsiTheme="minorHAnsi" w:cstheme="minorHAnsi"/>
                <w:color w:val="000000"/>
                <w:lang w:val="en-US"/>
              </w:rPr>
              <w:t>E</w:t>
            </w:r>
            <w:r w:rsidR="00816C14">
              <w:rPr>
                <w:rFonts w:asciiTheme="minorHAnsi" w:eastAsia="Times New Roman" w:hAnsiTheme="minorHAnsi" w:cstheme="minorHAnsi"/>
                <w:color w:val="000000"/>
                <w:lang w:val="en-US"/>
              </w:rPr>
              <w:t>mphasis on lower-risk borrowers</w:t>
            </w:r>
          </w:p>
          <w:p w:rsidR="00816C14" w:rsidRDefault="00816C14" w:rsidP="00F361D3">
            <w:pPr>
              <w:spacing w:after="0" w:line="240" w:lineRule="auto"/>
              <w:rPr>
                <w:rFonts w:asciiTheme="minorHAnsi" w:eastAsia="Times New Roman" w:hAnsiTheme="minorHAnsi" w:cstheme="minorHAnsi"/>
                <w:color w:val="000000"/>
                <w:lang w:val="en-US"/>
              </w:rPr>
            </w:pPr>
          </w:p>
          <w:p w:rsidR="00816C14" w:rsidRPr="00F361D3" w:rsidRDefault="00816C14" w:rsidP="00F361D3">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color w:val="000000"/>
                <w:lang w:val="en-US"/>
              </w:rPr>
              <w:t>12 years of data to aid borrower assessment, including through recessions</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C7792D" w:rsidP="00F361D3">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Borrowers pay up to 31%, giving adequate cover against risks</w:t>
            </w:r>
          </w:p>
        </w:tc>
      </w:tr>
      <w:tr w:rsidR="00C7792D" w:rsidRPr="00F361D3" w:rsidTr="009F577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F361D3" w:rsidRDefault="00C7792D" w:rsidP="00F361D3">
            <w:pPr>
              <w:spacing w:after="0" w:line="240" w:lineRule="auto"/>
              <w:rPr>
                <w:rFonts w:asciiTheme="minorHAnsi" w:eastAsia="Times New Roman" w:hAnsiTheme="minorHAnsi" w:cstheme="minorHAnsi"/>
                <w:b/>
                <w:sz w:val="24"/>
                <w:szCs w:val="24"/>
                <w:lang w:val="en-US"/>
              </w:rPr>
            </w:pPr>
            <w:r w:rsidRPr="00F361D3">
              <w:rPr>
                <w:rFonts w:asciiTheme="minorHAnsi" w:eastAsia="Times New Roman" w:hAnsiTheme="minorHAnsi" w:cstheme="minorHAnsi"/>
                <w:b/>
                <w:color w:val="000000"/>
                <w:sz w:val="24"/>
                <w:szCs w:val="24"/>
                <w:lang w:val="en-US"/>
              </w:rPr>
              <w:t>RateSetter</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C7792D" w:rsidP="00F361D3">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74% personal loans;</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C7792D" w:rsidP="00F361D3">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16% business loans;</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C7792D" w:rsidP="00F361D3">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10% property development loans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F361D3" w:rsidRDefault="00C7792D" w:rsidP="00F361D3">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Top rate fluctuates between 4.5% and 5.9%</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816C14" w:rsidRDefault="00816C14" w:rsidP="00816C14">
            <w:pPr>
              <w:spacing w:after="0" w:line="0" w:lineRule="atLeast"/>
              <w:rPr>
                <w:rFonts w:asciiTheme="minorHAnsi" w:eastAsia="Times New Roman" w:hAnsiTheme="minorHAnsi" w:cstheme="minorHAnsi"/>
                <w:i/>
                <w:sz w:val="24"/>
                <w:szCs w:val="24"/>
                <w:lang w:val="en-US"/>
              </w:rPr>
            </w:pPr>
            <w:r w:rsidRPr="00816C14">
              <w:rPr>
                <w:rFonts w:asciiTheme="minorHAnsi" w:eastAsia="Times New Roman" w:hAnsiTheme="minorHAnsi" w:cstheme="minorHAnsi"/>
                <w:i/>
                <w:color w:val="000000"/>
                <w:lang w:val="en-US"/>
              </w:rPr>
              <w:t xml:space="preserve">Down </w:t>
            </w:r>
            <w:r>
              <w:rPr>
                <w:rFonts w:asciiTheme="minorHAnsi" w:eastAsia="Times New Roman" w:hAnsiTheme="minorHAnsi" w:cstheme="minorHAnsi"/>
                <w:i/>
                <w:color w:val="000000"/>
                <w:lang w:val="en-US"/>
              </w:rPr>
              <w:t>from</w:t>
            </w:r>
            <w:r w:rsidRPr="00816C14">
              <w:rPr>
                <w:rFonts w:asciiTheme="minorHAnsi" w:eastAsia="Times New Roman" w:hAnsiTheme="minorHAnsi" w:cstheme="minorHAnsi"/>
                <w:i/>
                <w:color w:val="000000"/>
                <w:lang w:val="en-US"/>
              </w:rPr>
              <w:t xml:space="preserve"> 6.0% to 6.8%</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F361D3" w:rsidRDefault="00C7792D" w:rsidP="00F361D3">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71/1,000 loans</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7F5871" w:rsidP="00F361D3">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color w:val="000000"/>
                <w:lang w:val="en-US"/>
              </w:rPr>
              <w:t>Suggestive of medium-</w:t>
            </w:r>
            <w:r w:rsidR="00C7792D" w:rsidRPr="00F361D3">
              <w:rPr>
                <w:rFonts w:asciiTheme="minorHAnsi" w:eastAsia="Times New Roman" w:hAnsiTheme="minorHAnsi" w:cstheme="minorHAnsi"/>
                <w:color w:val="000000"/>
                <w:lang w:val="en-US"/>
              </w:rPr>
              <w:t>risk blended borrower types</w:t>
            </w:r>
          </w:p>
          <w:p w:rsidR="00C7792D" w:rsidRPr="00F361D3" w:rsidRDefault="00C7792D" w:rsidP="00F361D3">
            <w:pPr>
              <w:spacing w:after="240" w:line="0" w:lineRule="atLeast"/>
              <w:rPr>
                <w:rFonts w:asciiTheme="minorHAnsi" w:eastAsia="Times New Roman" w:hAnsiTheme="minorHAnsi" w:cstheme="minorHAnsi"/>
                <w:sz w:val="24"/>
                <w:szCs w:val="24"/>
                <w:lang w:val="en-US"/>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792D" w:rsidRPr="00F361D3" w:rsidRDefault="00C7792D" w:rsidP="00F361D3">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Large reserve fund of up t</w:t>
            </w:r>
            <w:r w:rsidR="00816C14">
              <w:rPr>
                <w:rFonts w:asciiTheme="minorHAnsi" w:eastAsia="Times New Roman" w:hAnsiTheme="minorHAnsi" w:cstheme="minorHAnsi"/>
                <w:color w:val="000000"/>
                <w:lang w:val="en-US"/>
              </w:rPr>
              <w:t>o 3.4% to cover expected losses</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816C14" w:rsidP="00F361D3">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color w:val="000000"/>
                <w:lang w:val="en-US"/>
              </w:rPr>
              <w:t>Emphasis on quality borrowers</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C7792D" w:rsidP="00F361D3">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Borrowers pay up to 22%, giving adequate cover against risks</w:t>
            </w:r>
          </w:p>
          <w:p w:rsidR="00C7792D" w:rsidRPr="00F361D3" w:rsidRDefault="00C7792D" w:rsidP="00F361D3">
            <w:pPr>
              <w:spacing w:after="0" w:line="240" w:lineRule="auto"/>
              <w:rPr>
                <w:rFonts w:asciiTheme="minorHAnsi" w:eastAsia="Times New Roman" w:hAnsiTheme="minorHAnsi" w:cstheme="minorHAnsi"/>
                <w:sz w:val="24"/>
                <w:szCs w:val="24"/>
                <w:lang w:val="en-US"/>
              </w:rPr>
            </w:pPr>
          </w:p>
          <w:p w:rsidR="00C7792D" w:rsidRPr="00F361D3" w:rsidRDefault="00C7792D" w:rsidP="00F361D3">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Property developers and some businesses provide security</w:t>
            </w:r>
          </w:p>
        </w:tc>
      </w:tr>
      <w:tr w:rsidR="009F5772" w:rsidRPr="00F361D3" w:rsidTr="009F577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5772" w:rsidRPr="00F361D3" w:rsidRDefault="009F5772" w:rsidP="009F5772">
            <w:pPr>
              <w:spacing w:after="0" w:line="240" w:lineRule="auto"/>
              <w:rPr>
                <w:rFonts w:asciiTheme="minorHAnsi" w:eastAsia="Times New Roman" w:hAnsiTheme="minorHAnsi" w:cstheme="minorHAnsi"/>
                <w:b/>
                <w:sz w:val="24"/>
                <w:szCs w:val="24"/>
                <w:lang w:val="en-US"/>
              </w:rPr>
            </w:pPr>
            <w:r w:rsidRPr="00F361D3">
              <w:rPr>
                <w:rFonts w:asciiTheme="minorHAnsi" w:eastAsia="Times New Roman" w:hAnsiTheme="minorHAnsi" w:cstheme="minorHAnsi"/>
                <w:b/>
                <w:color w:val="000000"/>
                <w:sz w:val="24"/>
                <w:szCs w:val="24"/>
                <w:lang w:val="en-US"/>
              </w:rPr>
              <w:t>ThinCats</w:t>
            </w:r>
          </w:p>
          <w:p w:rsidR="009F5772" w:rsidRPr="00F361D3" w:rsidRDefault="009F5772" w:rsidP="009F5772">
            <w:pPr>
              <w:spacing w:after="0" w:line="240" w:lineRule="auto"/>
              <w:rPr>
                <w:rFonts w:asciiTheme="minorHAnsi" w:eastAsia="Times New Roman" w:hAnsiTheme="minorHAnsi" w:cstheme="minorHAnsi"/>
                <w:sz w:val="24"/>
                <w:szCs w:val="24"/>
                <w:lang w:val="en-US"/>
              </w:rPr>
            </w:pPr>
          </w:p>
          <w:p w:rsidR="009F5772" w:rsidRPr="00F361D3" w:rsidRDefault="007F5871" w:rsidP="009F5772">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color w:val="000000"/>
                <w:lang w:val="en-US"/>
              </w:rPr>
              <w:t>Business</w:t>
            </w:r>
            <w:r w:rsidR="009F5772" w:rsidRPr="00F361D3">
              <w:rPr>
                <w:rFonts w:asciiTheme="minorHAnsi" w:eastAsia="Times New Roman" w:hAnsiTheme="minorHAnsi" w:cstheme="minorHAnsi"/>
                <w:color w:val="000000"/>
                <w:lang w:val="en-US"/>
              </w:rPr>
              <w:t xml:space="preserve"> loans;</w:t>
            </w:r>
          </w:p>
          <w:p w:rsidR="009F5772" w:rsidRPr="00F361D3" w:rsidRDefault="009F5772" w:rsidP="009F5772">
            <w:pPr>
              <w:spacing w:after="0" w:line="240" w:lineRule="auto"/>
              <w:rPr>
                <w:rFonts w:asciiTheme="minorHAnsi" w:eastAsia="Times New Roman" w:hAnsiTheme="minorHAnsi" w:cstheme="minorHAnsi"/>
                <w:sz w:val="24"/>
                <w:szCs w:val="24"/>
                <w:lang w:val="en-US"/>
              </w:rPr>
            </w:pPr>
          </w:p>
          <w:p w:rsidR="009F5772" w:rsidRPr="00F361D3" w:rsidRDefault="009F5772" w:rsidP="007F5871">
            <w:pPr>
              <w:spacing w:after="0" w:line="0" w:lineRule="atLeast"/>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Short-term property (bridging) and development loans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5772" w:rsidRDefault="00EC2183" w:rsidP="009F5772">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7%-8.5%</w:t>
            </w:r>
          </w:p>
          <w:p w:rsidR="00816C14" w:rsidRDefault="00816C14" w:rsidP="009F5772">
            <w:pPr>
              <w:spacing w:after="0" w:line="240" w:lineRule="auto"/>
              <w:rPr>
                <w:rFonts w:asciiTheme="minorHAnsi" w:eastAsia="Times New Roman" w:hAnsiTheme="minorHAnsi" w:cstheme="minorHAnsi"/>
                <w:color w:val="000000"/>
                <w:lang w:val="en-US"/>
              </w:rPr>
            </w:pPr>
          </w:p>
          <w:p w:rsidR="00816C14" w:rsidRPr="00816C14" w:rsidRDefault="00816C14" w:rsidP="009F5772">
            <w:pPr>
              <w:spacing w:after="0" w:line="240" w:lineRule="auto"/>
              <w:rPr>
                <w:rFonts w:asciiTheme="minorHAnsi" w:eastAsia="Times New Roman" w:hAnsiTheme="minorHAnsi" w:cstheme="minorHAnsi"/>
                <w:i/>
                <w:color w:val="000000"/>
                <w:lang w:val="en-US"/>
              </w:rPr>
            </w:pPr>
            <w:r w:rsidRPr="00816C14">
              <w:rPr>
                <w:rFonts w:asciiTheme="minorHAnsi" w:eastAsia="Times New Roman" w:hAnsiTheme="minorHAnsi" w:cstheme="minorHAnsi"/>
                <w:i/>
                <w:color w:val="000000"/>
                <w:lang w:val="en-US"/>
              </w:rPr>
              <w:t>Rates unchanged</w:t>
            </w:r>
          </w:p>
          <w:p w:rsidR="00816C14" w:rsidRPr="00F361D3" w:rsidRDefault="00816C14" w:rsidP="009F5772">
            <w:pPr>
              <w:spacing w:after="0" w:line="240" w:lineRule="auto"/>
              <w:rPr>
                <w:rFonts w:asciiTheme="minorHAnsi" w:eastAsia="Times New Roman" w:hAnsiTheme="minorHAnsi" w:cstheme="minorHAnsi"/>
                <w:sz w:val="1"/>
                <w:szCs w:val="24"/>
                <w:lang w:val="en-US"/>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5772" w:rsidRDefault="00BB3338" w:rsidP="009F5772">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112/1,000</w:t>
            </w:r>
            <w:r w:rsidR="00EC2183">
              <w:rPr>
                <w:rFonts w:asciiTheme="minorHAnsi" w:eastAsia="Times New Roman" w:hAnsiTheme="minorHAnsi" w:cstheme="minorHAnsi"/>
                <w:color w:val="000000"/>
                <w:lang w:val="en-US"/>
              </w:rPr>
              <w:t xml:space="preserve"> </w:t>
            </w:r>
            <w:r w:rsidR="006109F4">
              <w:rPr>
                <w:rFonts w:asciiTheme="minorHAnsi" w:eastAsia="Times New Roman" w:hAnsiTheme="minorHAnsi" w:cstheme="minorHAnsi"/>
                <w:color w:val="000000"/>
                <w:sz w:val="24"/>
                <w:szCs w:val="24"/>
                <w:vertAlign w:val="superscript"/>
                <w:lang w:val="en-US"/>
              </w:rPr>
              <w:t>(4)</w:t>
            </w:r>
          </w:p>
          <w:p w:rsidR="00BB3338" w:rsidRDefault="00BB3338" w:rsidP="009F5772">
            <w:pPr>
              <w:spacing w:after="0" w:line="240" w:lineRule="auto"/>
              <w:rPr>
                <w:rFonts w:asciiTheme="minorHAnsi" w:eastAsia="Times New Roman" w:hAnsiTheme="minorHAnsi" w:cstheme="minorHAnsi"/>
                <w:color w:val="000000"/>
                <w:lang w:val="en-US"/>
              </w:rPr>
            </w:pPr>
          </w:p>
          <w:p w:rsidR="00BB3338" w:rsidRPr="00BB3338" w:rsidRDefault="00BB3338" w:rsidP="009F5772">
            <w:pPr>
              <w:spacing w:after="0" w:line="240" w:lineRule="auto"/>
              <w:rPr>
                <w:rFonts w:asciiTheme="minorHAnsi" w:eastAsia="Times New Roman" w:hAnsiTheme="minorHAnsi" w:cstheme="minorHAnsi"/>
                <w:sz w:val="24"/>
                <w:szCs w:val="24"/>
                <w:lang w:val="en-US"/>
              </w:rPr>
            </w:pPr>
            <w:r w:rsidRPr="00F361D3">
              <w:rPr>
                <w:rFonts w:asciiTheme="minorHAnsi" w:eastAsia="Times New Roman" w:hAnsiTheme="minorHAnsi" w:cstheme="minorHAnsi"/>
                <w:color w:val="000000"/>
                <w:lang w:val="en-US"/>
              </w:rPr>
              <w:t xml:space="preserve">Suggestive of </w:t>
            </w:r>
            <w:r>
              <w:rPr>
                <w:rFonts w:asciiTheme="minorHAnsi" w:eastAsia="Times New Roman" w:hAnsiTheme="minorHAnsi" w:cstheme="minorHAnsi"/>
                <w:color w:val="000000"/>
                <w:lang w:val="en-US"/>
              </w:rPr>
              <w:t>high</w:t>
            </w:r>
            <w:r w:rsidR="007F5871">
              <w:rPr>
                <w:rFonts w:asciiTheme="minorHAnsi" w:eastAsia="Times New Roman" w:hAnsiTheme="minorHAnsi" w:cstheme="minorHAnsi"/>
                <w:color w:val="000000"/>
                <w:lang w:val="en-US"/>
              </w:rPr>
              <w:t>-</w:t>
            </w:r>
            <w:r w:rsidRPr="00F361D3">
              <w:rPr>
                <w:rFonts w:asciiTheme="minorHAnsi" w:eastAsia="Times New Roman" w:hAnsiTheme="minorHAnsi" w:cstheme="minorHAnsi"/>
                <w:color w:val="000000"/>
                <w:lang w:val="en-US"/>
              </w:rPr>
              <w:t>risk blended borrower types</w:t>
            </w:r>
            <w:r>
              <w:rPr>
                <w:rFonts w:asciiTheme="minorHAnsi" w:eastAsia="Times New Roman" w:hAnsiTheme="minorHAnsi" w:cstheme="minorHAnsi"/>
                <w:color w:val="000000"/>
                <w:lang w:val="en-US"/>
              </w:rPr>
              <w:t xml:space="preserve"> (generally expect/demand great security or high interest rates</w:t>
            </w:r>
            <w:r w:rsidR="00EC2183">
              <w:rPr>
                <w:rFonts w:asciiTheme="minorHAnsi" w:eastAsia="Times New Roman" w:hAnsiTheme="minorHAnsi" w:cstheme="minorHAnsi"/>
                <w:color w:val="000000"/>
                <w:lang w:val="en-US"/>
              </w:rPr>
              <w:t xml:space="preserve"> and spread money across many loans)</w:t>
            </w:r>
          </w:p>
          <w:p w:rsidR="00BB3338" w:rsidRDefault="00BB3338" w:rsidP="009F5772">
            <w:pPr>
              <w:spacing w:after="0" w:line="240" w:lineRule="auto"/>
              <w:rPr>
                <w:rFonts w:asciiTheme="minorHAnsi" w:eastAsia="Times New Roman" w:hAnsiTheme="minorHAnsi" w:cstheme="minorHAnsi"/>
                <w:color w:val="000000"/>
                <w:lang w:val="en-US"/>
              </w:rPr>
            </w:pPr>
          </w:p>
          <w:p w:rsidR="00BB3338" w:rsidRPr="00F361D3" w:rsidRDefault="00BB3338" w:rsidP="009F5772">
            <w:pPr>
              <w:spacing w:after="0" w:line="240" w:lineRule="auto"/>
              <w:rPr>
                <w:rFonts w:asciiTheme="minorHAnsi" w:eastAsia="Times New Roman" w:hAnsiTheme="minorHAnsi" w:cstheme="minorHAnsi"/>
                <w:sz w:val="1"/>
                <w:szCs w:val="24"/>
                <w:lang w:val="en-US"/>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5772" w:rsidRDefault="007C4F7D" w:rsidP="00EC2183">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Lenders receive up to 15% interest</w:t>
            </w:r>
            <w:r w:rsidR="00EC2183">
              <w:rPr>
                <w:rFonts w:asciiTheme="minorHAnsi" w:eastAsia="Times New Roman" w:hAnsiTheme="minorHAnsi" w:cstheme="minorHAnsi"/>
                <w:color w:val="000000"/>
                <w:lang w:val="en-US"/>
              </w:rPr>
              <w:t xml:space="preserve"> before bad debts</w:t>
            </w:r>
            <w:r w:rsidR="007F5871">
              <w:rPr>
                <w:rFonts w:asciiTheme="minorHAnsi" w:eastAsia="Times New Roman" w:hAnsiTheme="minorHAnsi" w:cstheme="minorHAnsi"/>
                <w:color w:val="000000"/>
                <w:lang w:val="en-US"/>
              </w:rPr>
              <w:t>,</w:t>
            </w:r>
            <w:r w:rsidR="00EC2183">
              <w:rPr>
                <w:rFonts w:asciiTheme="minorHAnsi" w:eastAsia="Times New Roman" w:hAnsiTheme="minorHAnsi" w:cstheme="minorHAnsi"/>
                <w:color w:val="000000"/>
                <w:lang w:val="en-US"/>
              </w:rPr>
              <w:t xml:space="preserve"> and </w:t>
            </w:r>
            <w:r w:rsidR="007F5871">
              <w:rPr>
                <w:rFonts w:asciiTheme="minorHAnsi" w:eastAsia="Times New Roman" w:hAnsiTheme="minorHAnsi" w:cstheme="minorHAnsi"/>
                <w:color w:val="000000"/>
                <w:lang w:val="en-US"/>
              </w:rPr>
              <w:t>approx</w:t>
            </w:r>
            <w:r w:rsidR="00EC2183">
              <w:rPr>
                <w:rFonts w:asciiTheme="minorHAnsi" w:eastAsia="Times New Roman" w:hAnsiTheme="minorHAnsi" w:cstheme="minorHAnsi"/>
                <w:color w:val="000000"/>
                <w:lang w:val="en-US"/>
              </w:rPr>
              <w:t xml:space="preserve"> 12% on average, which </w:t>
            </w:r>
            <w:r w:rsidR="007F5871">
              <w:rPr>
                <w:rFonts w:asciiTheme="minorHAnsi" w:eastAsia="Times New Roman" w:hAnsiTheme="minorHAnsi" w:cstheme="minorHAnsi"/>
                <w:color w:val="000000"/>
                <w:lang w:val="en-US"/>
              </w:rPr>
              <w:t>appears sufficient for the risks</w:t>
            </w:r>
          </w:p>
          <w:p w:rsidR="007F5871" w:rsidRDefault="007F5871" w:rsidP="00EC2183">
            <w:pPr>
              <w:spacing w:after="0" w:line="240" w:lineRule="auto"/>
              <w:rPr>
                <w:rFonts w:asciiTheme="minorHAnsi" w:eastAsia="Times New Roman" w:hAnsiTheme="minorHAnsi" w:cstheme="minorHAnsi"/>
                <w:color w:val="000000"/>
                <w:lang w:val="en-US"/>
              </w:rPr>
            </w:pPr>
          </w:p>
          <w:p w:rsidR="007F5871" w:rsidRDefault="007F5871" w:rsidP="00EC2183">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Loans are secured, although quality of security on non-</w:t>
            </w:r>
            <w:r w:rsidR="00816C14">
              <w:rPr>
                <w:rFonts w:asciiTheme="minorHAnsi" w:eastAsia="Times New Roman" w:hAnsiTheme="minorHAnsi" w:cstheme="minorHAnsi"/>
                <w:color w:val="000000"/>
                <w:lang w:val="en-US"/>
              </w:rPr>
              <w:t>property loans is often unknown</w:t>
            </w:r>
          </w:p>
          <w:p w:rsidR="007F5871" w:rsidRPr="00F361D3" w:rsidRDefault="007F5871" w:rsidP="00EC2183">
            <w:pPr>
              <w:spacing w:after="0" w:line="240" w:lineRule="auto"/>
              <w:rPr>
                <w:rFonts w:asciiTheme="minorHAnsi" w:eastAsia="Times New Roman" w:hAnsiTheme="minorHAnsi" w:cstheme="minorHAnsi"/>
                <w:sz w:val="1"/>
                <w:szCs w:val="24"/>
                <w:lang w:val="en-US"/>
              </w:rPr>
            </w:pPr>
          </w:p>
        </w:tc>
      </w:tr>
      <w:tr w:rsidR="007F3BD1" w:rsidRPr="00F361D3" w:rsidTr="009F577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BD1" w:rsidRDefault="007F3BD1" w:rsidP="007F3BD1">
            <w:pPr>
              <w:spacing w:after="0" w:line="240" w:lineRule="auto"/>
              <w:rPr>
                <w:rFonts w:asciiTheme="minorHAnsi" w:eastAsia="Times New Roman" w:hAnsiTheme="minorHAnsi" w:cstheme="minorHAnsi"/>
                <w:b/>
                <w:color w:val="000000"/>
                <w:sz w:val="24"/>
                <w:szCs w:val="24"/>
                <w:lang w:val="en-US"/>
              </w:rPr>
            </w:pPr>
            <w:r>
              <w:rPr>
                <w:rFonts w:asciiTheme="minorHAnsi" w:eastAsia="Times New Roman" w:hAnsiTheme="minorHAnsi" w:cstheme="minorHAnsi"/>
                <w:b/>
                <w:color w:val="000000"/>
                <w:sz w:val="24"/>
                <w:szCs w:val="24"/>
                <w:lang w:val="en-US"/>
              </w:rPr>
              <w:t>Lending Works</w:t>
            </w:r>
          </w:p>
          <w:p w:rsidR="007F3BD1" w:rsidRDefault="007F3BD1" w:rsidP="007F3BD1">
            <w:pPr>
              <w:spacing w:after="0" w:line="240" w:lineRule="auto"/>
              <w:rPr>
                <w:rFonts w:asciiTheme="minorHAnsi" w:eastAsia="Times New Roman" w:hAnsiTheme="minorHAnsi" w:cstheme="minorHAnsi"/>
                <w:b/>
                <w:color w:val="000000"/>
                <w:sz w:val="24"/>
                <w:szCs w:val="24"/>
                <w:lang w:val="en-US"/>
              </w:rPr>
            </w:pPr>
          </w:p>
          <w:p w:rsidR="007F3BD1" w:rsidRPr="00816C14" w:rsidRDefault="007F3BD1" w:rsidP="007F3BD1">
            <w:pPr>
              <w:spacing w:after="0" w:line="240" w:lineRule="auto"/>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Personal loans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BD1" w:rsidRPr="00A9244E" w:rsidRDefault="007F3BD1" w:rsidP="007F3BD1">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color w:val="000000"/>
                <w:lang w:val="en-US"/>
              </w:rPr>
              <w:t>Up to 5</w:t>
            </w:r>
            <w:r w:rsidRPr="00A9244E">
              <w:rPr>
                <w:rFonts w:asciiTheme="minorHAnsi" w:eastAsia="Times New Roman" w:hAnsiTheme="minorHAnsi" w:cstheme="minorHAnsi"/>
                <w:color w:val="000000"/>
                <w:lang w:val="en-US"/>
              </w:rPr>
              <w:t>.5%</w:t>
            </w:r>
          </w:p>
          <w:p w:rsidR="007F3BD1" w:rsidRPr="00A9244E" w:rsidRDefault="007F3BD1" w:rsidP="007F3BD1">
            <w:pPr>
              <w:spacing w:after="0" w:line="240" w:lineRule="auto"/>
              <w:rPr>
                <w:rFonts w:asciiTheme="minorHAnsi" w:eastAsia="Times New Roman" w:hAnsiTheme="minorHAnsi" w:cstheme="minorHAnsi"/>
                <w:i/>
                <w:sz w:val="24"/>
                <w:szCs w:val="24"/>
                <w:lang w:val="en-US"/>
              </w:rPr>
            </w:pPr>
          </w:p>
          <w:p w:rsidR="007F3BD1" w:rsidRPr="00F361D3" w:rsidRDefault="007F3BD1" w:rsidP="007F3BD1">
            <w:pPr>
              <w:spacing w:after="0" w:line="240" w:lineRule="auto"/>
              <w:rPr>
                <w:rFonts w:asciiTheme="minorHAnsi" w:eastAsia="Times New Roman" w:hAnsiTheme="minorHAnsi" w:cstheme="minorHAnsi"/>
                <w:sz w:val="1"/>
                <w:szCs w:val="24"/>
                <w:lang w:val="en-US"/>
              </w:rPr>
            </w:pPr>
            <w:r>
              <w:rPr>
                <w:rFonts w:asciiTheme="minorHAnsi" w:eastAsia="Times New Roman" w:hAnsiTheme="minorHAnsi" w:cstheme="minorHAnsi"/>
                <w:i/>
                <w:color w:val="000000"/>
                <w:lang w:val="en-US"/>
              </w:rPr>
              <w:t>Down</w:t>
            </w:r>
            <w:r w:rsidRPr="00A9244E">
              <w:rPr>
                <w:rFonts w:asciiTheme="minorHAnsi" w:eastAsia="Times New Roman" w:hAnsiTheme="minorHAnsi" w:cstheme="minorHAnsi"/>
                <w:i/>
                <w:color w:val="000000"/>
                <w:lang w:val="en-US"/>
              </w:rPr>
              <w:t xml:space="preserve"> from </w:t>
            </w:r>
            <w:r>
              <w:rPr>
                <w:rFonts w:asciiTheme="minorHAnsi" w:eastAsia="Times New Roman" w:hAnsiTheme="minorHAnsi" w:cstheme="minorHAnsi"/>
                <w:i/>
                <w:color w:val="000000"/>
                <w:lang w:val="en-US"/>
              </w:rPr>
              <w:t>6.1%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BD1" w:rsidRPr="00F361D3" w:rsidRDefault="007F3BD1" w:rsidP="007F3BD1">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color w:val="000000"/>
                <w:lang w:val="en-US"/>
              </w:rPr>
              <w:t>30</w:t>
            </w:r>
            <w:r w:rsidRPr="00F361D3">
              <w:rPr>
                <w:rFonts w:asciiTheme="minorHAnsi" w:eastAsia="Times New Roman" w:hAnsiTheme="minorHAnsi" w:cstheme="minorHAnsi"/>
                <w:color w:val="000000"/>
                <w:lang w:val="en-US"/>
              </w:rPr>
              <w:t>/1,000 loans</w:t>
            </w:r>
          </w:p>
          <w:p w:rsidR="007F3BD1" w:rsidRPr="00F361D3" w:rsidRDefault="007F3BD1" w:rsidP="007F3BD1">
            <w:pPr>
              <w:spacing w:after="0" w:line="240" w:lineRule="auto"/>
              <w:rPr>
                <w:rFonts w:asciiTheme="minorHAnsi" w:eastAsia="Times New Roman" w:hAnsiTheme="minorHAnsi" w:cstheme="minorHAnsi"/>
                <w:sz w:val="24"/>
                <w:szCs w:val="24"/>
                <w:lang w:val="en-US"/>
              </w:rPr>
            </w:pPr>
          </w:p>
          <w:p w:rsidR="007F3BD1" w:rsidRPr="00F361D3" w:rsidRDefault="007F3BD1" w:rsidP="007F3BD1">
            <w:pPr>
              <w:spacing w:after="0" w:line="240" w:lineRule="auto"/>
              <w:rPr>
                <w:rFonts w:asciiTheme="minorHAnsi" w:eastAsia="Times New Roman" w:hAnsiTheme="minorHAnsi" w:cstheme="minorHAnsi"/>
                <w:sz w:val="1"/>
                <w:szCs w:val="24"/>
                <w:lang w:val="en-US"/>
              </w:rPr>
            </w:pPr>
            <w:r w:rsidRPr="00A9244E">
              <w:rPr>
                <w:rFonts w:asciiTheme="minorHAnsi" w:eastAsia="Times New Roman" w:hAnsiTheme="minorHAnsi" w:cstheme="minorHAnsi"/>
                <w:i/>
                <w:color w:val="000000"/>
                <w:lang w:val="en-US"/>
              </w:rPr>
              <w:t>Suggestive of low-risk individual borrowers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BD1" w:rsidRDefault="007F3BD1" w:rsidP="007F3BD1">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Reserve fund of up to 2.6% to cover expected losses</w:t>
            </w:r>
          </w:p>
          <w:p w:rsidR="007F3BD1" w:rsidRDefault="007F3BD1" w:rsidP="007F3BD1">
            <w:pPr>
              <w:spacing w:after="0" w:line="240" w:lineRule="auto"/>
              <w:rPr>
                <w:rFonts w:asciiTheme="minorHAnsi" w:eastAsia="Times New Roman" w:hAnsiTheme="minorHAnsi" w:cstheme="minorHAnsi"/>
                <w:color w:val="000000"/>
                <w:lang w:val="en-US"/>
              </w:rPr>
            </w:pPr>
          </w:p>
          <w:p w:rsidR="007F3BD1" w:rsidRDefault="00B477CB" w:rsidP="007F3BD1">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Lowest-risk</w:t>
            </w:r>
            <w:r w:rsidR="007F3BD1">
              <w:rPr>
                <w:rFonts w:asciiTheme="minorHAnsi" w:eastAsia="Times New Roman" w:hAnsiTheme="minorHAnsi" w:cstheme="minorHAnsi"/>
                <w:color w:val="000000"/>
                <w:lang w:val="en-US"/>
              </w:rPr>
              <w:t xml:space="preserve"> borrowers</w:t>
            </w:r>
            <w:r>
              <w:rPr>
                <w:rFonts w:asciiTheme="minorHAnsi" w:eastAsia="Times New Roman" w:hAnsiTheme="minorHAnsi" w:cstheme="minorHAnsi"/>
                <w:color w:val="000000"/>
                <w:lang w:val="en-US"/>
              </w:rPr>
              <w:t xml:space="preserve"> only</w:t>
            </w:r>
          </w:p>
          <w:p w:rsidR="00B477CB" w:rsidRDefault="00B477CB" w:rsidP="007F3BD1">
            <w:pPr>
              <w:spacing w:after="0" w:line="240" w:lineRule="auto"/>
              <w:rPr>
                <w:rFonts w:asciiTheme="minorHAnsi" w:eastAsia="Times New Roman" w:hAnsiTheme="minorHAnsi" w:cstheme="minorHAnsi"/>
                <w:color w:val="000000"/>
                <w:lang w:val="en-US"/>
              </w:rPr>
            </w:pPr>
          </w:p>
          <w:p w:rsidR="00B477CB" w:rsidRDefault="00B477CB" w:rsidP="007F3BD1">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 xml:space="preserve">Insurance to cover some bad debts </w:t>
            </w:r>
            <w:r>
              <w:rPr>
                <w:rFonts w:asciiTheme="minorHAnsi" w:eastAsia="Times New Roman" w:hAnsiTheme="minorHAnsi" w:cstheme="minorHAnsi"/>
                <w:color w:val="000000"/>
                <w:lang w:val="en-US"/>
              </w:rPr>
              <w:lastRenderedPageBreak/>
              <w:t>when borrowers lose their jobs (most useful during recessions)</w:t>
            </w:r>
          </w:p>
          <w:p w:rsidR="00B477CB" w:rsidRPr="00F361D3" w:rsidRDefault="00B477CB" w:rsidP="007F3BD1">
            <w:pPr>
              <w:spacing w:after="0" w:line="240" w:lineRule="auto"/>
              <w:rPr>
                <w:rFonts w:asciiTheme="minorHAnsi" w:eastAsia="Times New Roman" w:hAnsiTheme="minorHAnsi" w:cstheme="minorHAnsi"/>
                <w:sz w:val="1"/>
                <w:szCs w:val="24"/>
                <w:lang w:val="en-US"/>
              </w:rPr>
            </w:pPr>
          </w:p>
        </w:tc>
      </w:tr>
      <w:tr w:rsidR="00816C14" w:rsidRPr="00F361D3" w:rsidTr="009F5772">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C14" w:rsidRDefault="00816C14" w:rsidP="00816C14">
            <w:pPr>
              <w:spacing w:after="0" w:line="240" w:lineRule="auto"/>
              <w:rPr>
                <w:rFonts w:asciiTheme="minorHAnsi" w:eastAsia="Times New Roman" w:hAnsiTheme="minorHAnsi" w:cstheme="minorHAnsi"/>
                <w:b/>
                <w:color w:val="000000"/>
                <w:sz w:val="24"/>
                <w:szCs w:val="24"/>
                <w:lang w:val="en-US"/>
              </w:rPr>
            </w:pPr>
            <w:r>
              <w:rPr>
                <w:rFonts w:asciiTheme="minorHAnsi" w:eastAsia="Times New Roman" w:hAnsiTheme="minorHAnsi" w:cstheme="minorHAnsi"/>
                <w:b/>
                <w:color w:val="000000"/>
                <w:sz w:val="24"/>
                <w:szCs w:val="24"/>
                <w:lang w:val="en-US"/>
              </w:rPr>
              <w:lastRenderedPageBreak/>
              <w:t>Proplend</w:t>
            </w:r>
          </w:p>
          <w:p w:rsidR="00816C14" w:rsidRDefault="00816C14" w:rsidP="00816C14">
            <w:pPr>
              <w:spacing w:after="0" w:line="240" w:lineRule="auto"/>
              <w:rPr>
                <w:rFonts w:asciiTheme="minorHAnsi" w:eastAsia="Times New Roman" w:hAnsiTheme="minorHAnsi" w:cstheme="minorHAnsi"/>
                <w:b/>
                <w:color w:val="000000"/>
                <w:sz w:val="24"/>
                <w:szCs w:val="24"/>
                <w:lang w:val="en-US"/>
              </w:rPr>
            </w:pPr>
          </w:p>
          <w:p w:rsidR="00816C14" w:rsidRPr="00816C14" w:rsidRDefault="00816C14" w:rsidP="00816C14">
            <w:pPr>
              <w:spacing w:after="0" w:line="240" w:lineRule="auto"/>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Mortgages for tenanted residential and commercial properties</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C14" w:rsidRDefault="00816C14" w:rsidP="00816C14">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Up to 11.05%</w:t>
            </w:r>
          </w:p>
          <w:p w:rsidR="00816C14" w:rsidRDefault="00816C14" w:rsidP="00816C14">
            <w:pPr>
              <w:spacing w:after="0" w:line="240" w:lineRule="auto"/>
              <w:rPr>
                <w:rFonts w:asciiTheme="minorHAnsi" w:eastAsia="Times New Roman" w:hAnsiTheme="minorHAnsi" w:cstheme="minorHAnsi"/>
                <w:color w:val="000000"/>
                <w:lang w:val="en-US"/>
              </w:rPr>
            </w:pPr>
          </w:p>
          <w:p w:rsidR="00816C14" w:rsidRPr="00816C14" w:rsidRDefault="00816C14" w:rsidP="00816C14">
            <w:pPr>
              <w:spacing w:after="0" w:line="240" w:lineRule="auto"/>
              <w:rPr>
                <w:rFonts w:asciiTheme="minorHAnsi" w:eastAsia="Times New Roman" w:hAnsiTheme="minorHAnsi" w:cstheme="minorHAnsi"/>
                <w:i/>
                <w:sz w:val="1"/>
                <w:szCs w:val="24"/>
                <w:lang w:val="en-US"/>
              </w:rPr>
            </w:pPr>
            <w:r w:rsidRPr="00816C14">
              <w:rPr>
                <w:rFonts w:asciiTheme="minorHAnsi" w:eastAsia="Times New Roman" w:hAnsiTheme="minorHAnsi" w:cstheme="minorHAnsi"/>
                <w:i/>
                <w:color w:val="000000"/>
                <w:lang w:val="en-US"/>
              </w:rPr>
              <w:t>Up from 9.39%</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C14" w:rsidRDefault="00816C14" w:rsidP="00816C14">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0/1,000</w:t>
            </w:r>
          </w:p>
          <w:p w:rsidR="00816C14" w:rsidRDefault="00816C14" w:rsidP="00816C14">
            <w:pPr>
              <w:spacing w:after="0" w:line="240" w:lineRule="auto"/>
              <w:rPr>
                <w:rFonts w:asciiTheme="minorHAnsi" w:eastAsia="Times New Roman" w:hAnsiTheme="minorHAnsi" w:cstheme="minorHAnsi"/>
                <w:color w:val="000000"/>
                <w:lang w:val="en-US"/>
              </w:rPr>
            </w:pPr>
          </w:p>
          <w:p w:rsidR="00816C14" w:rsidRDefault="00816C14" w:rsidP="00816C14">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Suggestive of very low-risk commercial landlord borrowers</w:t>
            </w:r>
          </w:p>
          <w:p w:rsidR="00816C14" w:rsidRPr="00F361D3" w:rsidRDefault="00816C14" w:rsidP="00816C14">
            <w:pPr>
              <w:spacing w:after="0" w:line="240" w:lineRule="auto"/>
              <w:rPr>
                <w:rFonts w:asciiTheme="minorHAnsi" w:eastAsia="Times New Roman" w:hAnsiTheme="minorHAnsi" w:cstheme="minorHAnsi"/>
                <w:sz w:val="1"/>
                <w:szCs w:val="24"/>
                <w:lang w:val="en-US"/>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C14" w:rsidRDefault="00B477CB" w:rsidP="00816C14">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 xml:space="preserve">All loans secured on real property with average </w:t>
            </w:r>
            <w:r w:rsidR="00816C14">
              <w:rPr>
                <w:rFonts w:asciiTheme="minorHAnsi" w:eastAsia="Times New Roman" w:hAnsiTheme="minorHAnsi" w:cstheme="minorHAnsi"/>
                <w:color w:val="000000"/>
                <w:lang w:val="en-US"/>
              </w:rPr>
              <w:t>59% LTV</w:t>
            </w:r>
            <w:r>
              <w:rPr>
                <w:rFonts w:asciiTheme="minorHAnsi" w:eastAsia="Times New Roman" w:hAnsiTheme="minorHAnsi" w:cstheme="minorHAnsi"/>
                <w:color w:val="000000"/>
                <w:lang w:val="en-US"/>
              </w:rPr>
              <w:t>. Maximum 50% LTV or less on senior debts</w:t>
            </w:r>
          </w:p>
          <w:p w:rsidR="00B477CB" w:rsidRDefault="00B477CB" w:rsidP="00816C14">
            <w:pPr>
              <w:spacing w:after="0" w:line="240" w:lineRule="auto"/>
              <w:rPr>
                <w:rFonts w:asciiTheme="minorHAnsi" w:eastAsia="Times New Roman" w:hAnsiTheme="minorHAnsi" w:cstheme="minorHAnsi"/>
                <w:color w:val="000000"/>
                <w:lang w:val="en-US"/>
              </w:rPr>
            </w:pPr>
          </w:p>
          <w:p w:rsidR="00B477CB" w:rsidRDefault="00B477CB" w:rsidP="00816C14">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All properties receiving rent of at least 125% of the monthly mortgage payments</w:t>
            </w:r>
          </w:p>
          <w:p w:rsidR="00816C14" w:rsidRDefault="00816C14" w:rsidP="00816C14">
            <w:pPr>
              <w:spacing w:after="0" w:line="240" w:lineRule="auto"/>
              <w:rPr>
                <w:rFonts w:asciiTheme="minorHAnsi" w:eastAsia="Times New Roman" w:hAnsiTheme="minorHAnsi" w:cstheme="minorHAnsi"/>
                <w:color w:val="000000"/>
                <w:lang w:val="en-US"/>
              </w:rPr>
            </w:pPr>
          </w:p>
          <w:p w:rsidR="00816C14" w:rsidRDefault="00B477CB" w:rsidP="00816C14">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Borrowers pay some</w:t>
            </w:r>
            <w:r w:rsidR="00816C14">
              <w:rPr>
                <w:rFonts w:asciiTheme="minorHAnsi" w:eastAsia="Times New Roman" w:hAnsiTheme="minorHAnsi" w:cstheme="minorHAnsi"/>
                <w:color w:val="000000"/>
                <w:lang w:val="en-US"/>
              </w:rPr>
              <w:t xml:space="preserve"> interest up front and held in reserve</w:t>
            </w:r>
          </w:p>
          <w:p w:rsidR="00B477CB" w:rsidRDefault="00B477CB" w:rsidP="00816C14">
            <w:pPr>
              <w:spacing w:after="0" w:line="240" w:lineRule="auto"/>
              <w:rPr>
                <w:rFonts w:asciiTheme="minorHAnsi" w:eastAsia="Times New Roman" w:hAnsiTheme="minorHAnsi" w:cstheme="minorHAnsi"/>
                <w:color w:val="000000"/>
                <w:lang w:val="en-US"/>
              </w:rPr>
            </w:pPr>
          </w:p>
          <w:p w:rsidR="00B477CB" w:rsidRDefault="00B477CB" w:rsidP="00816C14">
            <w:pPr>
              <w:spacing w:after="0"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Borrowers are highly experienced commercial landlords</w:t>
            </w:r>
          </w:p>
          <w:p w:rsidR="00816C14" w:rsidRPr="00F361D3" w:rsidRDefault="00816C14" w:rsidP="00816C14">
            <w:pPr>
              <w:spacing w:after="0" w:line="240" w:lineRule="auto"/>
              <w:rPr>
                <w:rFonts w:asciiTheme="minorHAnsi" w:eastAsia="Times New Roman" w:hAnsiTheme="minorHAnsi" w:cstheme="minorHAnsi"/>
                <w:sz w:val="1"/>
                <w:szCs w:val="24"/>
                <w:lang w:val="en-US"/>
              </w:rPr>
            </w:pPr>
          </w:p>
        </w:tc>
      </w:tr>
    </w:tbl>
    <w:p w:rsidR="00F361D3" w:rsidRPr="00F361D3" w:rsidRDefault="00F361D3" w:rsidP="00F361D3">
      <w:pPr>
        <w:spacing w:after="0" w:line="240" w:lineRule="auto"/>
        <w:rPr>
          <w:rFonts w:ascii="Times New Roman" w:eastAsia="Times New Roman" w:hAnsi="Times New Roman"/>
          <w:sz w:val="24"/>
          <w:szCs w:val="24"/>
          <w:lang w:val="en-US"/>
        </w:rPr>
      </w:pPr>
    </w:p>
    <w:p w:rsidR="009D5A6B" w:rsidRPr="00834C1F" w:rsidRDefault="009D5A6B" w:rsidP="00EF52FC">
      <w:pPr>
        <w:spacing w:after="0" w:line="276" w:lineRule="auto"/>
        <w:jc w:val="both"/>
        <w:rPr>
          <w:rFonts w:asciiTheme="minorHAnsi" w:eastAsia="Times New Roman" w:hAnsiTheme="minorHAnsi" w:cstheme="minorHAnsi"/>
          <w:sz w:val="24"/>
          <w:szCs w:val="24"/>
          <w:lang w:val="en-US"/>
        </w:rPr>
      </w:pPr>
      <w:r w:rsidRPr="00834C1F">
        <w:rPr>
          <w:rFonts w:asciiTheme="minorHAnsi" w:eastAsia="Times New Roman" w:hAnsiTheme="minorHAnsi" w:cstheme="minorHAnsi"/>
          <w:color w:val="000000"/>
          <w:sz w:val="24"/>
          <w:szCs w:val="24"/>
          <w:lang w:val="en-US"/>
        </w:rPr>
        <w:t>The high-quality, well-established platforms have matured. Interest rates have steadily come down over the past few years and they are now sensible, after being too high</w:t>
      </w:r>
      <w:r w:rsidR="00C4314A">
        <w:rPr>
          <w:rFonts w:asciiTheme="minorHAnsi" w:eastAsia="Times New Roman" w:hAnsiTheme="minorHAnsi" w:cstheme="minorHAnsi"/>
          <w:color w:val="000000"/>
          <w:sz w:val="24"/>
          <w:szCs w:val="24"/>
          <w:lang w:val="en-US"/>
        </w:rPr>
        <w:t xml:space="preserve"> for the risks involved</w:t>
      </w:r>
      <w:r w:rsidRPr="00834C1F">
        <w:rPr>
          <w:rFonts w:asciiTheme="minorHAnsi" w:eastAsia="Times New Roman" w:hAnsiTheme="minorHAnsi" w:cstheme="minorHAnsi"/>
          <w:color w:val="000000"/>
          <w:sz w:val="24"/>
          <w:szCs w:val="24"/>
          <w:lang w:val="en-US"/>
        </w:rPr>
        <w:t>. Plus, while these platforms were unnecessarily selective of borrowers in their earlier years – they have now met in the middle.</w:t>
      </w:r>
    </w:p>
    <w:p w:rsidR="009D5A6B" w:rsidRPr="00834C1F" w:rsidRDefault="009D5A6B" w:rsidP="00ED1AE4">
      <w:pPr>
        <w:pStyle w:val="NoSpacing"/>
        <w:rPr>
          <w:lang w:val="en-US"/>
        </w:rPr>
      </w:pPr>
    </w:p>
    <w:p w:rsidR="009D5A6B" w:rsidRPr="00834C1F" w:rsidRDefault="009D5A6B" w:rsidP="00EF52FC">
      <w:pPr>
        <w:spacing w:after="0" w:line="276" w:lineRule="auto"/>
        <w:jc w:val="both"/>
        <w:rPr>
          <w:rFonts w:asciiTheme="minorHAnsi" w:eastAsia="Times New Roman" w:hAnsiTheme="minorHAnsi" w:cstheme="minorHAnsi"/>
          <w:color w:val="000000"/>
          <w:sz w:val="24"/>
          <w:szCs w:val="24"/>
          <w:lang w:val="en-US"/>
        </w:rPr>
      </w:pPr>
      <w:r w:rsidRPr="00834C1F">
        <w:rPr>
          <w:rFonts w:asciiTheme="minorHAnsi" w:eastAsia="Times New Roman" w:hAnsiTheme="minorHAnsi" w:cstheme="minorHAnsi"/>
          <w:color w:val="000000"/>
          <w:sz w:val="24"/>
          <w:szCs w:val="24"/>
          <w:lang w:val="en-US"/>
        </w:rPr>
        <w:t>Zopa’s</w:t>
      </w:r>
      <w:r w:rsidR="00546927">
        <w:rPr>
          <w:rFonts w:asciiTheme="minorHAnsi" w:eastAsia="Times New Roman" w:hAnsiTheme="minorHAnsi" w:cstheme="minorHAnsi"/>
          <w:color w:val="000000"/>
          <w:sz w:val="24"/>
          <w:szCs w:val="24"/>
          <w:lang w:val="en-US"/>
        </w:rPr>
        <w:t>,</w:t>
      </w:r>
      <w:r w:rsidRPr="00834C1F">
        <w:rPr>
          <w:rFonts w:asciiTheme="minorHAnsi" w:eastAsia="Times New Roman" w:hAnsiTheme="minorHAnsi" w:cstheme="minorHAnsi"/>
          <w:color w:val="000000"/>
          <w:sz w:val="24"/>
          <w:szCs w:val="24"/>
          <w:lang w:val="en-US"/>
        </w:rPr>
        <w:t xml:space="preserve"> RateSetter’s</w:t>
      </w:r>
      <w:r w:rsidR="00546927">
        <w:rPr>
          <w:rFonts w:asciiTheme="minorHAnsi" w:eastAsia="Times New Roman" w:hAnsiTheme="minorHAnsi" w:cstheme="minorHAnsi"/>
          <w:color w:val="000000"/>
          <w:sz w:val="24"/>
          <w:szCs w:val="24"/>
          <w:lang w:val="en-US"/>
        </w:rPr>
        <w:t>,</w:t>
      </w:r>
      <w:r w:rsidRPr="00834C1F">
        <w:rPr>
          <w:rFonts w:asciiTheme="minorHAnsi" w:eastAsia="Times New Roman" w:hAnsiTheme="minorHAnsi" w:cstheme="minorHAnsi"/>
          <w:color w:val="000000"/>
          <w:sz w:val="24"/>
          <w:szCs w:val="24"/>
          <w:lang w:val="en-US"/>
        </w:rPr>
        <w:t xml:space="preserve"> and Lending Works’ rates have all come down relative to the risks. Funding Circle’s returns have bounced up again, after some years of falling, but the silly returns investors saw initially are long gone.</w:t>
      </w:r>
    </w:p>
    <w:p w:rsidR="009D5A6B" w:rsidRPr="00834C1F" w:rsidRDefault="009D5A6B" w:rsidP="00ED1AE4">
      <w:pPr>
        <w:pStyle w:val="NoSpacing"/>
        <w:rPr>
          <w:lang w:val="en-US"/>
        </w:rPr>
      </w:pPr>
    </w:p>
    <w:p w:rsidR="009D5A6B" w:rsidRPr="00ED1AE4" w:rsidRDefault="009D5A6B" w:rsidP="00ED1AE4">
      <w:pPr>
        <w:spacing w:after="0" w:line="276" w:lineRule="auto"/>
        <w:jc w:val="both"/>
        <w:rPr>
          <w:rFonts w:asciiTheme="minorHAnsi" w:eastAsia="Times New Roman" w:hAnsiTheme="minorHAnsi" w:cstheme="minorHAnsi"/>
          <w:color w:val="000000"/>
          <w:sz w:val="24"/>
          <w:szCs w:val="24"/>
          <w:lang w:val="en-US"/>
        </w:rPr>
      </w:pPr>
      <w:r w:rsidRPr="00ED1AE4">
        <w:rPr>
          <w:rFonts w:asciiTheme="minorHAnsi" w:eastAsia="Times New Roman" w:hAnsiTheme="minorHAnsi" w:cstheme="minorHAnsi"/>
          <w:color w:val="000000"/>
          <w:sz w:val="24"/>
          <w:szCs w:val="24"/>
          <w:lang w:val="en-US"/>
        </w:rPr>
        <w:t xml:space="preserve">Proplend, which is not as established as the others, has actually seen its interest rates go up even further as the property security for investors has </w:t>
      </w:r>
      <w:r w:rsidR="00C4314A" w:rsidRPr="00ED1AE4">
        <w:rPr>
          <w:rFonts w:asciiTheme="minorHAnsi" w:eastAsia="Times New Roman" w:hAnsiTheme="minorHAnsi" w:cstheme="minorHAnsi"/>
          <w:color w:val="000000"/>
          <w:sz w:val="24"/>
          <w:szCs w:val="24"/>
          <w:lang w:val="en-US"/>
        </w:rPr>
        <w:t xml:space="preserve">also </w:t>
      </w:r>
      <w:r w:rsidRPr="00ED1AE4">
        <w:rPr>
          <w:rFonts w:asciiTheme="minorHAnsi" w:eastAsia="Times New Roman" w:hAnsiTheme="minorHAnsi" w:cstheme="minorHAnsi"/>
          <w:color w:val="000000"/>
          <w:sz w:val="24"/>
          <w:szCs w:val="24"/>
          <w:lang w:val="en-US"/>
        </w:rPr>
        <w:t>arguably got better. It seems that investors can get better risk-adjusted returns using a mix of well-established and nearly-established P2P lending platforms.</w:t>
      </w:r>
    </w:p>
    <w:p w:rsidR="00013EDD" w:rsidRPr="00ED1AE4" w:rsidRDefault="00013EDD" w:rsidP="00ED1AE4">
      <w:pPr>
        <w:pStyle w:val="NoSpacing"/>
      </w:pPr>
    </w:p>
    <w:p w:rsidR="00C4314A" w:rsidRPr="00ED1AE4" w:rsidRDefault="0056635C" w:rsidP="00ED1AE4">
      <w:pPr>
        <w:pStyle w:val="NoSpacing"/>
        <w:spacing w:line="276" w:lineRule="auto"/>
        <w:jc w:val="both"/>
        <w:rPr>
          <w:i/>
          <w:sz w:val="24"/>
          <w:szCs w:val="24"/>
          <w:lang w:val="en-US"/>
        </w:rPr>
      </w:pPr>
      <w:r w:rsidRPr="00ED1AE4">
        <w:rPr>
          <w:rFonts w:cs="Calibri"/>
          <w:sz w:val="24"/>
          <w:szCs w:val="24"/>
        </w:rPr>
        <w:t xml:space="preserve">Neil Faulkner, Co-founder and Managing Director of 4thWay®, comments: </w:t>
      </w:r>
      <w:r w:rsidR="00E57DEE" w:rsidRPr="00ED1AE4">
        <w:rPr>
          <w:rFonts w:cs="Calibri"/>
          <w:i/>
          <w:sz w:val="24"/>
          <w:szCs w:val="24"/>
        </w:rPr>
        <w:t>“</w:t>
      </w:r>
      <w:r w:rsidR="00C4314A" w:rsidRPr="00ED1AE4">
        <w:rPr>
          <w:i/>
          <w:sz w:val="24"/>
          <w:szCs w:val="24"/>
          <w:lang w:val="en-US"/>
        </w:rPr>
        <w:t>Investors have started to learn that they do not need to earn sky high interest rates in peer-to-peer lending to cover the risks, because lending is intrinsically a relatively straightforward asset class, as money lenders have understood for hundreds of years.</w:t>
      </w:r>
    </w:p>
    <w:p w:rsidR="00C4314A" w:rsidRPr="00ED1AE4" w:rsidRDefault="00C4314A" w:rsidP="00ED1AE4">
      <w:pPr>
        <w:pStyle w:val="NoSpacing"/>
        <w:rPr>
          <w:lang w:val="en-US"/>
        </w:rPr>
      </w:pPr>
    </w:p>
    <w:p w:rsidR="00EF52FC" w:rsidRPr="00ED1AE4" w:rsidRDefault="00E57DEE" w:rsidP="00ED1AE4">
      <w:pPr>
        <w:spacing w:after="0" w:line="276" w:lineRule="auto"/>
        <w:jc w:val="both"/>
        <w:rPr>
          <w:rFonts w:asciiTheme="minorHAnsi" w:eastAsia="Times New Roman" w:hAnsiTheme="minorHAnsi" w:cstheme="minorHAnsi"/>
          <w:i/>
          <w:color w:val="000000"/>
          <w:sz w:val="24"/>
          <w:szCs w:val="24"/>
          <w:lang w:val="en-US"/>
        </w:rPr>
      </w:pPr>
      <w:r w:rsidRPr="00ED1AE4">
        <w:rPr>
          <w:rFonts w:asciiTheme="minorHAnsi" w:eastAsia="Times New Roman" w:hAnsiTheme="minorHAnsi" w:cstheme="minorHAnsi"/>
          <w:i/>
          <w:color w:val="000000"/>
          <w:sz w:val="24"/>
          <w:szCs w:val="24"/>
          <w:lang w:val="en-US"/>
        </w:rPr>
        <w:t>“</w:t>
      </w:r>
      <w:r w:rsidR="00EF52FC" w:rsidRPr="00ED1AE4">
        <w:rPr>
          <w:rFonts w:asciiTheme="minorHAnsi" w:eastAsia="Times New Roman" w:hAnsiTheme="minorHAnsi" w:cstheme="minorHAnsi"/>
          <w:i/>
          <w:color w:val="000000"/>
          <w:sz w:val="24"/>
          <w:szCs w:val="24"/>
          <w:lang w:val="en-US"/>
        </w:rPr>
        <w:t>Even so, I urge investors not to use interest rates as a proxy for measuring risks. We sometimes see interest rates being too low for the risks involved, and very low rates can disguise high-risk investment propositions. The best defence for investors</w:t>
      </w:r>
      <w:r w:rsidR="009E3BFA">
        <w:rPr>
          <w:rFonts w:asciiTheme="minorHAnsi" w:eastAsia="Times New Roman" w:hAnsiTheme="minorHAnsi" w:cstheme="minorHAnsi"/>
          <w:i/>
          <w:color w:val="000000"/>
          <w:sz w:val="24"/>
          <w:szCs w:val="24"/>
          <w:lang w:val="en-US"/>
        </w:rPr>
        <w:t xml:space="preserve"> is to learn more about what they’re doing so they</w:t>
      </w:r>
      <w:r w:rsidR="00EF52FC" w:rsidRPr="00ED1AE4">
        <w:rPr>
          <w:rFonts w:asciiTheme="minorHAnsi" w:eastAsia="Times New Roman" w:hAnsiTheme="minorHAnsi" w:cstheme="minorHAnsi"/>
          <w:i/>
          <w:color w:val="000000"/>
          <w:sz w:val="24"/>
          <w:szCs w:val="24"/>
          <w:lang w:val="en-US"/>
        </w:rPr>
        <w:t xml:space="preserve"> can draw up simple but sensible investing strategies to greatly reduce the risk of losing money.</w:t>
      </w:r>
      <w:r w:rsidRPr="00ED1AE4">
        <w:rPr>
          <w:rFonts w:asciiTheme="minorHAnsi" w:eastAsia="Times New Roman" w:hAnsiTheme="minorHAnsi" w:cstheme="minorHAnsi"/>
          <w:i/>
          <w:color w:val="000000"/>
          <w:sz w:val="24"/>
          <w:szCs w:val="24"/>
          <w:lang w:val="en-US"/>
        </w:rPr>
        <w:t>”</w:t>
      </w:r>
    </w:p>
    <w:p w:rsidR="00013EDD" w:rsidRDefault="00013EDD" w:rsidP="004112BA">
      <w:pPr>
        <w:pStyle w:val="NoSpacing"/>
        <w:rPr>
          <w:rFonts w:cs="Calibri"/>
          <w:sz w:val="24"/>
          <w:szCs w:val="24"/>
        </w:rPr>
      </w:pPr>
    </w:p>
    <w:p w:rsidR="00013EDD" w:rsidRPr="00123D5F" w:rsidRDefault="00013EDD" w:rsidP="004112BA">
      <w:pPr>
        <w:pStyle w:val="NoSpacing"/>
        <w:rPr>
          <w:rFonts w:cs="Calibri"/>
          <w:sz w:val="24"/>
          <w:szCs w:val="24"/>
        </w:rPr>
      </w:pPr>
    </w:p>
    <w:p w:rsidR="00BD78D9" w:rsidRPr="00F80403" w:rsidRDefault="00BD78D9" w:rsidP="00BD78D9">
      <w:pPr>
        <w:pStyle w:val="NoSpacing"/>
        <w:jc w:val="center"/>
        <w:rPr>
          <w:rFonts w:cs="Calibri"/>
          <w:b/>
          <w:sz w:val="24"/>
          <w:szCs w:val="24"/>
        </w:rPr>
      </w:pPr>
      <w:r w:rsidRPr="00F80403">
        <w:rPr>
          <w:rFonts w:cs="Calibri"/>
          <w:b/>
          <w:sz w:val="24"/>
          <w:szCs w:val="24"/>
        </w:rPr>
        <w:t>-ENDS-</w:t>
      </w:r>
    </w:p>
    <w:p w:rsidR="005922B2" w:rsidRDefault="005922B2" w:rsidP="00F93851">
      <w:pPr>
        <w:rPr>
          <w:rFonts w:asciiTheme="minorHAnsi" w:hAnsiTheme="minorHAnsi" w:cstheme="minorHAnsi"/>
          <w:b/>
          <w:sz w:val="24"/>
          <w:szCs w:val="24"/>
          <w:u w:val="single"/>
        </w:rPr>
      </w:pPr>
    </w:p>
    <w:p w:rsidR="00AE2F22" w:rsidRPr="00BC1C89" w:rsidRDefault="0050157D" w:rsidP="00F93851">
      <w:pPr>
        <w:rPr>
          <w:rFonts w:asciiTheme="minorHAnsi" w:hAnsiTheme="minorHAnsi" w:cstheme="minorHAnsi"/>
          <w:b/>
          <w:sz w:val="24"/>
          <w:szCs w:val="24"/>
          <w:u w:val="single"/>
        </w:rPr>
      </w:pPr>
      <w:r w:rsidRPr="00BC1C89">
        <w:rPr>
          <w:rFonts w:asciiTheme="minorHAnsi" w:hAnsiTheme="minorHAnsi" w:cstheme="minorHAnsi"/>
          <w:b/>
          <w:sz w:val="24"/>
          <w:szCs w:val="24"/>
          <w:u w:val="single"/>
        </w:rPr>
        <w:t>Notes</w:t>
      </w:r>
      <w:r w:rsidR="005F5954" w:rsidRPr="00BC1C89">
        <w:rPr>
          <w:rFonts w:asciiTheme="minorHAnsi" w:hAnsiTheme="minorHAnsi" w:cstheme="minorHAnsi"/>
          <w:b/>
          <w:sz w:val="24"/>
          <w:szCs w:val="24"/>
          <w:u w:val="single"/>
        </w:rPr>
        <w:t xml:space="preserve"> </w:t>
      </w:r>
      <w:r w:rsidR="00BC1C89" w:rsidRPr="00BC1C89">
        <w:rPr>
          <w:rFonts w:asciiTheme="minorHAnsi" w:hAnsiTheme="minorHAnsi" w:cstheme="minorHAnsi"/>
          <w:b/>
          <w:sz w:val="24"/>
          <w:szCs w:val="24"/>
          <w:u w:val="single"/>
        </w:rPr>
        <w:t>to Editors</w:t>
      </w:r>
    </w:p>
    <w:p w:rsidR="00E0425E" w:rsidRPr="00CC1A7B" w:rsidRDefault="00BC1C89" w:rsidP="005922B2">
      <w:pPr>
        <w:pStyle w:val="ListParagraph"/>
        <w:numPr>
          <w:ilvl w:val="0"/>
          <w:numId w:val="8"/>
        </w:numPr>
        <w:spacing w:after="0" w:line="276" w:lineRule="auto"/>
        <w:jc w:val="both"/>
        <w:rPr>
          <w:rFonts w:asciiTheme="minorHAnsi" w:eastAsia="Times New Roman" w:hAnsiTheme="minorHAnsi" w:cstheme="minorHAnsi"/>
          <w:color w:val="000000"/>
          <w:sz w:val="24"/>
          <w:szCs w:val="24"/>
          <w:lang w:val="en-US"/>
        </w:rPr>
      </w:pPr>
      <w:r w:rsidRPr="00CC1A7B">
        <w:rPr>
          <w:rFonts w:asciiTheme="minorHAnsi" w:eastAsia="Times New Roman" w:hAnsiTheme="minorHAnsi" w:cstheme="minorHAnsi"/>
          <w:color w:val="000000"/>
          <w:sz w:val="24"/>
          <w:szCs w:val="24"/>
          <w:lang w:val="en-US"/>
        </w:rPr>
        <w:t>Data from 4thWay and the P2P lending platforms from 03/08/2017 and 23/09/2017.</w:t>
      </w:r>
    </w:p>
    <w:p w:rsidR="005922B2" w:rsidRDefault="005922B2" w:rsidP="005922B2">
      <w:pPr>
        <w:pStyle w:val="ListParagraph"/>
        <w:spacing w:after="0" w:line="276" w:lineRule="auto"/>
        <w:ind w:left="360"/>
        <w:jc w:val="both"/>
        <w:rPr>
          <w:rFonts w:asciiTheme="minorHAnsi" w:eastAsia="Times New Roman" w:hAnsiTheme="minorHAnsi" w:cstheme="minorHAnsi"/>
          <w:color w:val="000000"/>
          <w:sz w:val="24"/>
          <w:szCs w:val="24"/>
          <w:lang w:val="en-US"/>
        </w:rPr>
      </w:pPr>
    </w:p>
    <w:p w:rsidR="00913D65" w:rsidRDefault="00913D65" w:rsidP="005922B2">
      <w:pPr>
        <w:pStyle w:val="ListParagraph"/>
        <w:spacing w:after="0" w:line="276" w:lineRule="auto"/>
        <w:ind w:left="360"/>
        <w:jc w:val="both"/>
        <w:rPr>
          <w:rFonts w:asciiTheme="minorHAnsi" w:eastAsia="Times New Roman" w:hAnsiTheme="minorHAnsi" w:cstheme="minorHAnsi"/>
          <w:color w:val="000000"/>
          <w:sz w:val="24"/>
          <w:szCs w:val="24"/>
          <w:lang w:val="en-US"/>
        </w:rPr>
      </w:pPr>
      <w:r w:rsidRPr="00CC1A7B">
        <w:rPr>
          <w:rFonts w:asciiTheme="minorHAnsi" w:eastAsia="Times New Roman" w:hAnsiTheme="minorHAnsi" w:cstheme="minorHAnsi"/>
          <w:color w:val="000000"/>
          <w:sz w:val="24"/>
          <w:szCs w:val="24"/>
          <w:lang w:val="en-US"/>
        </w:rPr>
        <w:lastRenderedPageBreak/>
        <w:t>List of the platforms in the wider industry that have lent the most in 2017 so far, excluding platforms, if any, that do not provide enough up-to-date data either to 4thWay or publicly</w:t>
      </w:r>
      <w:r w:rsidR="00864ED4">
        <w:rPr>
          <w:rFonts w:asciiTheme="minorHAnsi" w:eastAsia="Times New Roman" w:hAnsiTheme="minorHAnsi" w:cstheme="minorHAnsi"/>
          <w:color w:val="000000"/>
          <w:sz w:val="24"/>
          <w:szCs w:val="24"/>
          <w:lang w:val="en-US"/>
        </w:rPr>
        <w:t>,</w:t>
      </w:r>
      <w:r w:rsidRPr="00CC1A7B">
        <w:rPr>
          <w:rFonts w:asciiTheme="minorHAnsi" w:eastAsia="Times New Roman" w:hAnsiTheme="minorHAnsi" w:cstheme="minorHAnsi"/>
          <w:color w:val="000000"/>
          <w:sz w:val="24"/>
          <w:szCs w:val="24"/>
          <w:lang w:val="en-US"/>
        </w:rPr>
        <w:t xml:space="preserve"> and invoice lending platforms due to the difficulties in ascertaining the real amount</w:t>
      </w:r>
      <w:r w:rsidR="00C7792D" w:rsidRPr="00CC1A7B">
        <w:rPr>
          <w:rFonts w:asciiTheme="minorHAnsi" w:eastAsia="Times New Roman" w:hAnsiTheme="minorHAnsi" w:cstheme="minorHAnsi"/>
          <w:color w:val="000000"/>
          <w:sz w:val="24"/>
          <w:szCs w:val="24"/>
          <w:lang w:val="en-US"/>
        </w:rPr>
        <w:t xml:space="preserve"> lent</w:t>
      </w:r>
      <w:r w:rsidRPr="00CC1A7B">
        <w:rPr>
          <w:rFonts w:asciiTheme="minorHAnsi" w:eastAsia="Times New Roman" w:hAnsiTheme="minorHAnsi" w:cstheme="minorHAnsi"/>
          <w:color w:val="000000"/>
          <w:sz w:val="24"/>
          <w:szCs w:val="24"/>
          <w:lang w:val="en-US"/>
        </w:rPr>
        <w:t>.</w:t>
      </w:r>
    </w:p>
    <w:p w:rsidR="00CC1A7B" w:rsidRPr="005922B2" w:rsidRDefault="00CC1A7B" w:rsidP="005922B2">
      <w:pPr>
        <w:pStyle w:val="NoSpacing"/>
      </w:pPr>
    </w:p>
    <w:p w:rsidR="00527DF9" w:rsidRPr="005922B2" w:rsidRDefault="00405275" w:rsidP="005922B2">
      <w:pPr>
        <w:pStyle w:val="ListParagraph"/>
        <w:numPr>
          <w:ilvl w:val="0"/>
          <w:numId w:val="8"/>
        </w:numPr>
        <w:spacing w:after="0" w:line="276" w:lineRule="auto"/>
        <w:jc w:val="both"/>
      </w:pPr>
      <w:r w:rsidRPr="00CC1A7B">
        <w:rPr>
          <w:rFonts w:asciiTheme="minorHAnsi" w:eastAsia="Times New Roman" w:hAnsiTheme="minorHAnsi" w:cstheme="minorHAnsi"/>
          <w:color w:val="000000"/>
          <w:sz w:val="24"/>
          <w:szCs w:val="24"/>
          <w:lang w:val="en-US"/>
        </w:rPr>
        <w:t>A</w:t>
      </w:r>
      <w:r w:rsidR="00E0425E" w:rsidRPr="00CC1A7B">
        <w:rPr>
          <w:rFonts w:asciiTheme="minorHAnsi" w:eastAsia="Times New Roman" w:hAnsiTheme="minorHAnsi" w:cstheme="minorHAnsi"/>
          <w:color w:val="000000"/>
          <w:sz w:val="24"/>
          <w:szCs w:val="24"/>
          <w:lang w:val="en-US"/>
        </w:rPr>
        <w:t>fter 4thWay’s adjustments to data provided by platforms to improve accuracy.</w:t>
      </w:r>
    </w:p>
    <w:p w:rsidR="005922B2" w:rsidRPr="005922B2" w:rsidRDefault="005922B2" w:rsidP="005922B2">
      <w:pPr>
        <w:pStyle w:val="NoSpacing"/>
      </w:pPr>
    </w:p>
    <w:p w:rsidR="00527DF9" w:rsidRPr="005922B2" w:rsidRDefault="00C7792D" w:rsidP="005922B2">
      <w:pPr>
        <w:pStyle w:val="ListParagraph"/>
        <w:numPr>
          <w:ilvl w:val="0"/>
          <w:numId w:val="8"/>
        </w:numPr>
        <w:spacing w:line="240" w:lineRule="auto"/>
        <w:jc w:val="both"/>
      </w:pPr>
      <w:r w:rsidRPr="00CC1A7B">
        <w:rPr>
          <w:rFonts w:cs="Calibri"/>
          <w:sz w:val="24"/>
          <w:szCs w:val="24"/>
        </w:rPr>
        <w:t xml:space="preserve">Same list as in point 1, but excluding platforms that don’t provide all the data. </w:t>
      </w:r>
    </w:p>
    <w:p w:rsidR="005922B2" w:rsidRDefault="005922B2" w:rsidP="005922B2">
      <w:pPr>
        <w:pStyle w:val="ListParagraph"/>
        <w:spacing w:line="276" w:lineRule="auto"/>
        <w:ind w:left="360"/>
        <w:jc w:val="both"/>
        <w:rPr>
          <w:rFonts w:cs="Calibri"/>
          <w:sz w:val="24"/>
          <w:szCs w:val="24"/>
        </w:rPr>
      </w:pPr>
    </w:p>
    <w:p w:rsidR="00527DF9" w:rsidRDefault="007F5871" w:rsidP="00F93851">
      <w:pPr>
        <w:pStyle w:val="ListParagraph"/>
        <w:numPr>
          <w:ilvl w:val="0"/>
          <w:numId w:val="8"/>
        </w:numPr>
        <w:spacing w:line="276" w:lineRule="auto"/>
        <w:jc w:val="both"/>
        <w:rPr>
          <w:rFonts w:cs="Calibri"/>
          <w:sz w:val="24"/>
          <w:szCs w:val="24"/>
        </w:rPr>
      </w:pPr>
      <w:r w:rsidRPr="00CC1A7B">
        <w:rPr>
          <w:rFonts w:cs="Calibri"/>
          <w:sz w:val="24"/>
          <w:szCs w:val="24"/>
        </w:rPr>
        <w:t>ThinCats does a lot of loans where the interest is rolled up to the end of the loan. This means that defaults and arrears are frequently not known for years. Therefore, we have used ThinCats entire</w:t>
      </w:r>
      <w:r w:rsidR="00EC2183" w:rsidRPr="00CC1A7B">
        <w:rPr>
          <w:rFonts w:cs="Calibri"/>
          <w:sz w:val="24"/>
          <w:szCs w:val="24"/>
        </w:rPr>
        <w:t xml:space="preserve"> </w:t>
      </w:r>
      <w:r w:rsidRPr="00CC1A7B">
        <w:rPr>
          <w:rFonts w:cs="Calibri"/>
          <w:sz w:val="24"/>
          <w:szCs w:val="24"/>
        </w:rPr>
        <w:t>history since 2012 to calculate the bad-debt rate, rather than the past two years.</w:t>
      </w:r>
      <w:r w:rsidR="00EC2183" w:rsidRPr="00CC1A7B">
        <w:rPr>
          <w:rFonts w:cs="Calibri"/>
          <w:sz w:val="24"/>
          <w:szCs w:val="24"/>
        </w:rPr>
        <w:t xml:space="preserve"> </w:t>
      </w:r>
    </w:p>
    <w:p w:rsidR="00864ED4" w:rsidRPr="00864ED4" w:rsidRDefault="00864ED4" w:rsidP="00864ED4">
      <w:pPr>
        <w:pStyle w:val="ListParagraph"/>
        <w:rPr>
          <w:rFonts w:cs="Calibri"/>
          <w:sz w:val="24"/>
          <w:szCs w:val="24"/>
        </w:rPr>
      </w:pPr>
    </w:p>
    <w:p w:rsidR="00755EB5" w:rsidRPr="00864ED4" w:rsidRDefault="00755EB5" w:rsidP="00864ED4">
      <w:pPr>
        <w:jc w:val="both"/>
        <w:rPr>
          <w:rFonts w:cs="Calibri"/>
          <w:b/>
          <w:sz w:val="24"/>
          <w:szCs w:val="24"/>
        </w:rPr>
      </w:pPr>
      <w:r w:rsidRPr="00864ED4">
        <w:rPr>
          <w:rFonts w:cs="Calibri"/>
          <w:b/>
          <w:sz w:val="24"/>
          <w:szCs w:val="24"/>
        </w:rPr>
        <w:t xml:space="preserve">Media Enquiries </w:t>
      </w:r>
    </w:p>
    <w:p w:rsidR="00755EB5" w:rsidRPr="00864ED4" w:rsidRDefault="00755EB5" w:rsidP="00864ED4">
      <w:pPr>
        <w:jc w:val="both"/>
        <w:rPr>
          <w:rFonts w:cs="Calibri"/>
          <w:sz w:val="24"/>
          <w:szCs w:val="24"/>
        </w:rPr>
      </w:pPr>
      <w:r w:rsidRPr="00864ED4">
        <w:rPr>
          <w:rFonts w:cs="Calibri"/>
          <w:sz w:val="24"/>
          <w:szCs w:val="24"/>
        </w:rPr>
        <w:t xml:space="preserve">Email – </w:t>
      </w:r>
      <w:hyperlink r:id="rId7" w:history="1">
        <w:r w:rsidRPr="00864ED4">
          <w:rPr>
            <w:rStyle w:val="Hyperlink"/>
            <w:rFonts w:cs="Calibri"/>
            <w:sz w:val="24"/>
            <w:szCs w:val="24"/>
          </w:rPr>
          <w:t>Sonia@soniarehill.com</w:t>
        </w:r>
      </w:hyperlink>
      <w:r w:rsidRPr="00864ED4">
        <w:rPr>
          <w:rFonts w:cs="Calibri"/>
          <w:sz w:val="24"/>
          <w:szCs w:val="24"/>
        </w:rPr>
        <w:t xml:space="preserve"> or </w:t>
      </w:r>
      <w:hyperlink r:id="rId8" w:history="1">
        <w:r w:rsidRPr="00864ED4">
          <w:rPr>
            <w:rStyle w:val="Hyperlink"/>
            <w:rFonts w:cs="Calibri"/>
            <w:sz w:val="24"/>
            <w:szCs w:val="24"/>
          </w:rPr>
          <w:t>Pr@4thway.co.uk</w:t>
        </w:r>
      </w:hyperlink>
      <w:r w:rsidRPr="00864ED4">
        <w:rPr>
          <w:rFonts w:cs="Calibri"/>
          <w:sz w:val="24"/>
          <w:szCs w:val="24"/>
        </w:rPr>
        <w:t xml:space="preserve"> </w:t>
      </w:r>
    </w:p>
    <w:p w:rsidR="00755EB5" w:rsidRPr="00864ED4" w:rsidRDefault="00755EB5" w:rsidP="00864ED4">
      <w:pPr>
        <w:jc w:val="both"/>
        <w:rPr>
          <w:rFonts w:cs="Calibri"/>
          <w:sz w:val="24"/>
          <w:szCs w:val="24"/>
        </w:rPr>
      </w:pPr>
      <w:r w:rsidRPr="00864ED4">
        <w:rPr>
          <w:rFonts w:cs="Calibri"/>
          <w:sz w:val="24"/>
          <w:szCs w:val="24"/>
        </w:rPr>
        <w:t>Phone – 07968 747331</w:t>
      </w:r>
    </w:p>
    <w:p w:rsidR="00A6030B" w:rsidRPr="00864ED4" w:rsidRDefault="00A6030B" w:rsidP="00864ED4">
      <w:pPr>
        <w:jc w:val="both"/>
        <w:rPr>
          <w:rFonts w:cs="Calibri"/>
          <w:b/>
          <w:sz w:val="24"/>
          <w:szCs w:val="24"/>
        </w:rPr>
      </w:pPr>
      <w:r w:rsidRPr="00864ED4">
        <w:rPr>
          <w:rFonts w:cs="Calibri"/>
          <w:b/>
          <w:sz w:val="24"/>
          <w:szCs w:val="24"/>
        </w:rPr>
        <w:t>About 4thWay</w:t>
      </w:r>
      <w:r w:rsidR="00030BDA" w:rsidRPr="00864ED4">
        <w:rPr>
          <w:rFonts w:cs="Calibri"/>
          <w:sz w:val="24"/>
          <w:szCs w:val="24"/>
          <w:vertAlign w:val="superscript"/>
        </w:rPr>
        <w:t>®</w:t>
      </w:r>
      <w:r w:rsidRPr="00864ED4">
        <w:rPr>
          <w:rFonts w:cs="Calibri"/>
          <w:b/>
          <w:sz w:val="24"/>
          <w:szCs w:val="24"/>
        </w:rPr>
        <w:t xml:space="preserve"> – P2P Lending Research Approved By Your Peers </w:t>
      </w:r>
    </w:p>
    <w:p w:rsidR="00A6030B" w:rsidRPr="00864ED4" w:rsidRDefault="00A6030B" w:rsidP="00864ED4">
      <w:pPr>
        <w:spacing w:line="276" w:lineRule="auto"/>
        <w:jc w:val="both"/>
        <w:rPr>
          <w:rFonts w:cs="Calibri"/>
          <w:sz w:val="24"/>
          <w:szCs w:val="24"/>
        </w:rPr>
      </w:pPr>
      <w:r w:rsidRPr="00864ED4">
        <w:rPr>
          <w:rFonts w:cs="Calibri"/>
          <w:sz w:val="24"/>
          <w:szCs w:val="24"/>
        </w:rPr>
        <w:t>4thWay</w:t>
      </w:r>
      <w:r w:rsidRPr="00864ED4">
        <w:rPr>
          <w:rFonts w:cs="Calibri"/>
          <w:sz w:val="24"/>
          <w:szCs w:val="24"/>
          <w:vertAlign w:val="superscript"/>
        </w:rPr>
        <w:t>®</w:t>
      </w:r>
      <w:r w:rsidR="00CB0086" w:rsidRPr="00864ED4">
        <w:rPr>
          <w:rFonts w:cs="Calibri"/>
          <w:sz w:val="24"/>
          <w:szCs w:val="24"/>
        </w:rPr>
        <w:t xml:space="preserve"> is an independent research</w:t>
      </w:r>
      <w:r w:rsidRPr="00864ED4">
        <w:rPr>
          <w:rFonts w:cs="Calibri"/>
          <w:sz w:val="24"/>
          <w:szCs w:val="24"/>
        </w:rPr>
        <w:t xml:space="preserve"> agency for the peer-to-peer lending market</w:t>
      </w:r>
      <w:r w:rsidRPr="00864ED4">
        <w:rPr>
          <w:rFonts w:cs="Calibri"/>
          <w:sz w:val="24"/>
          <w:szCs w:val="24"/>
          <w:lang w:val="en-US"/>
        </w:rPr>
        <w:t xml:space="preserve"> that helps investors make comparing the many risks of lending through each P2P lending company easier.</w:t>
      </w:r>
      <w:r w:rsidRPr="00864ED4">
        <w:rPr>
          <w:rFonts w:cs="Calibri"/>
          <w:sz w:val="24"/>
          <w:szCs w:val="24"/>
        </w:rPr>
        <w:t xml:space="preserve"> We have a unique approach to researching opportunities in this sector, and provide unbiased </w:t>
      </w:r>
      <w:r w:rsidRPr="00864ED4">
        <w:rPr>
          <w:rFonts w:cs="Calibri"/>
          <w:sz w:val="24"/>
          <w:szCs w:val="24"/>
          <w:lang w:val="en-US"/>
        </w:rPr>
        <w:t xml:space="preserve">P2P lending comparisons, calculated risk ratings, detailed company insight reports, as well as exclusive lending </w:t>
      </w:r>
      <w:r w:rsidR="003F350C" w:rsidRPr="00864ED4">
        <w:rPr>
          <w:rFonts w:cs="Calibri"/>
          <w:sz w:val="24"/>
          <w:szCs w:val="24"/>
          <w:lang w:val="en-US"/>
        </w:rPr>
        <w:t>tips</w:t>
      </w:r>
      <w:r w:rsidRPr="00864ED4">
        <w:rPr>
          <w:rFonts w:cs="Calibri"/>
          <w:sz w:val="24"/>
          <w:szCs w:val="24"/>
          <w:lang w:val="en-US"/>
        </w:rPr>
        <w:t xml:space="preserve">, all available at </w:t>
      </w:r>
      <w:hyperlink r:id="rId9" w:history="1">
        <w:r w:rsidRPr="00864ED4">
          <w:rPr>
            <w:rStyle w:val="Hyperlink"/>
            <w:rFonts w:cs="Calibri"/>
            <w:sz w:val="24"/>
            <w:szCs w:val="24"/>
          </w:rPr>
          <w:t>4thWay.co.uk</w:t>
        </w:r>
      </w:hyperlink>
      <w:r w:rsidRPr="00864ED4">
        <w:rPr>
          <w:rFonts w:cs="Calibri"/>
          <w:sz w:val="24"/>
          <w:szCs w:val="24"/>
        </w:rPr>
        <w:t xml:space="preserve"> </w:t>
      </w:r>
    </w:p>
    <w:p w:rsidR="00A6030B" w:rsidRPr="00864ED4" w:rsidRDefault="00A6030B" w:rsidP="00864ED4">
      <w:pPr>
        <w:spacing w:line="276" w:lineRule="auto"/>
        <w:jc w:val="both"/>
        <w:rPr>
          <w:rFonts w:cs="Calibri"/>
          <w:b/>
          <w:sz w:val="24"/>
          <w:szCs w:val="24"/>
        </w:rPr>
      </w:pPr>
      <w:r w:rsidRPr="00864ED4">
        <w:rPr>
          <w:rFonts w:cs="Calibri"/>
          <w:sz w:val="24"/>
          <w:szCs w:val="24"/>
        </w:rPr>
        <w:t>Our mission is</w:t>
      </w:r>
      <w:r w:rsidRPr="00864ED4">
        <w:rPr>
          <w:rFonts w:cs="Calibri"/>
          <w:sz w:val="24"/>
          <w:szCs w:val="24"/>
          <w:lang w:val="en-US"/>
        </w:rPr>
        <w:t xml:space="preserve"> to be the most trustworthy online community of P2P investors in the UK - which is why we hold ourselves accountable to our users, who govern us through a </w:t>
      </w:r>
      <w:r w:rsidRPr="00864ED4">
        <w:rPr>
          <w:rFonts w:cs="Calibri"/>
          <w:i/>
          <w:sz w:val="24"/>
          <w:szCs w:val="24"/>
          <w:lang w:val="en-US"/>
        </w:rPr>
        <w:t>Pa</w:t>
      </w:r>
      <w:bookmarkStart w:id="0" w:name="_GoBack"/>
      <w:bookmarkEnd w:id="0"/>
      <w:r w:rsidRPr="00864ED4">
        <w:rPr>
          <w:rFonts w:cs="Calibri"/>
          <w:i/>
          <w:sz w:val="24"/>
          <w:szCs w:val="24"/>
          <w:lang w:val="en-US"/>
        </w:rPr>
        <w:t>nel of Peers</w:t>
      </w:r>
      <w:r w:rsidRPr="00864ED4">
        <w:rPr>
          <w:rFonts w:cs="Calibri"/>
          <w:sz w:val="24"/>
          <w:szCs w:val="24"/>
          <w:lang w:val="en-US"/>
        </w:rPr>
        <w:t xml:space="preserve">, ensuring we always stay focused on individual lenders' interests in this thriving market. </w:t>
      </w:r>
    </w:p>
    <w:p w:rsidR="00BE7F6E" w:rsidRPr="00123D5F" w:rsidRDefault="00BE7F6E" w:rsidP="00755EB5">
      <w:pPr>
        <w:ind w:right="5102"/>
        <w:rPr>
          <w:rFonts w:cs="Calibri"/>
        </w:rPr>
      </w:pPr>
    </w:p>
    <w:sectPr w:rsidR="00BE7F6E" w:rsidRPr="00123D5F" w:rsidSect="00FD6FC0">
      <w:pgSz w:w="11906" w:h="16838"/>
      <w:pgMar w:top="568" w:right="907" w:bottom="907"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81DE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4793"/>
    <w:multiLevelType w:val="hybridMultilevel"/>
    <w:tmpl w:val="517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22CF3"/>
    <w:multiLevelType w:val="hybridMultilevel"/>
    <w:tmpl w:val="2E28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40917"/>
    <w:multiLevelType w:val="hybridMultilevel"/>
    <w:tmpl w:val="118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493508"/>
    <w:multiLevelType w:val="hybridMultilevel"/>
    <w:tmpl w:val="47B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B24EFB"/>
    <w:multiLevelType w:val="hybridMultilevel"/>
    <w:tmpl w:val="5210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A3B6D"/>
    <w:multiLevelType w:val="hybridMultilevel"/>
    <w:tmpl w:val="2DFC9C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B600C4"/>
    <w:multiLevelType w:val="hybridMultilevel"/>
    <w:tmpl w:val="1EE4833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74760F"/>
    <w:multiLevelType w:val="multilevel"/>
    <w:tmpl w:val="8010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AE2F22"/>
    <w:rsid w:val="000113FC"/>
    <w:rsid w:val="00013EDD"/>
    <w:rsid w:val="00030BDA"/>
    <w:rsid w:val="00045D1B"/>
    <w:rsid w:val="000A7AA5"/>
    <w:rsid w:val="000B15BB"/>
    <w:rsid w:val="000C6203"/>
    <w:rsid w:val="000C6A96"/>
    <w:rsid w:val="000D24BB"/>
    <w:rsid w:val="000D77C5"/>
    <w:rsid w:val="000E65F4"/>
    <w:rsid w:val="000F5986"/>
    <w:rsid w:val="00123D5F"/>
    <w:rsid w:val="001265C2"/>
    <w:rsid w:val="00127D51"/>
    <w:rsid w:val="001633B4"/>
    <w:rsid w:val="00163A17"/>
    <w:rsid w:val="001658AA"/>
    <w:rsid w:val="001703E1"/>
    <w:rsid w:val="00177173"/>
    <w:rsid w:val="00177CD1"/>
    <w:rsid w:val="001815FD"/>
    <w:rsid w:val="001A27B8"/>
    <w:rsid w:val="001A3AD1"/>
    <w:rsid w:val="001B254D"/>
    <w:rsid w:val="001B41B8"/>
    <w:rsid w:val="001C268E"/>
    <w:rsid w:val="001E2444"/>
    <w:rsid w:val="001F4558"/>
    <w:rsid w:val="0020611A"/>
    <w:rsid w:val="00213A9C"/>
    <w:rsid w:val="0028269B"/>
    <w:rsid w:val="002905E6"/>
    <w:rsid w:val="002A57B5"/>
    <w:rsid w:val="002B2B57"/>
    <w:rsid w:val="002B330B"/>
    <w:rsid w:val="002B3E4E"/>
    <w:rsid w:val="002B5B80"/>
    <w:rsid w:val="002F4D67"/>
    <w:rsid w:val="00351F9E"/>
    <w:rsid w:val="00366A01"/>
    <w:rsid w:val="003823CC"/>
    <w:rsid w:val="0039760C"/>
    <w:rsid w:val="003B0536"/>
    <w:rsid w:val="003C0C1F"/>
    <w:rsid w:val="003C6787"/>
    <w:rsid w:val="003D5C26"/>
    <w:rsid w:val="003E1BF1"/>
    <w:rsid w:val="003F350C"/>
    <w:rsid w:val="00402A4C"/>
    <w:rsid w:val="00403B6B"/>
    <w:rsid w:val="00405275"/>
    <w:rsid w:val="004112BA"/>
    <w:rsid w:val="00456DE9"/>
    <w:rsid w:val="00484BE0"/>
    <w:rsid w:val="0049306C"/>
    <w:rsid w:val="004B0996"/>
    <w:rsid w:val="004C0587"/>
    <w:rsid w:val="004D0B9A"/>
    <w:rsid w:val="004F1768"/>
    <w:rsid w:val="0050157D"/>
    <w:rsid w:val="00516190"/>
    <w:rsid w:val="00527DF9"/>
    <w:rsid w:val="00534D1F"/>
    <w:rsid w:val="00546927"/>
    <w:rsid w:val="00556774"/>
    <w:rsid w:val="0055782A"/>
    <w:rsid w:val="00561899"/>
    <w:rsid w:val="0056337F"/>
    <w:rsid w:val="0056635C"/>
    <w:rsid w:val="00570B91"/>
    <w:rsid w:val="00577327"/>
    <w:rsid w:val="005922B2"/>
    <w:rsid w:val="005A2256"/>
    <w:rsid w:val="005E3C17"/>
    <w:rsid w:val="005F5954"/>
    <w:rsid w:val="00600121"/>
    <w:rsid w:val="006109F4"/>
    <w:rsid w:val="006128AD"/>
    <w:rsid w:val="0061459A"/>
    <w:rsid w:val="0061484E"/>
    <w:rsid w:val="00635EEE"/>
    <w:rsid w:val="00640DBD"/>
    <w:rsid w:val="0068749C"/>
    <w:rsid w:val="006C55A0"/>
    <w:rsid w:val="006D39AB"/>
    <w:rsid w:val="006D6741"/>
    <w:rsid w:val="006E6542"/>
    <w:rsid w:val="006E7F23"/>
    <w:rsid w:val="006F553B"/>
    <w:rsid w:val="0070056A"/>
    <w:rsid w:val="0072323A"/>
    <w:rsid w:val="00754DCB"/>
    <w:rsid w:val="00755EB5"/>
    <w:rsid w:val="007564EC"/>
    <w:rsid w:val="007849BB"/>
    <w:rsid w:val="007C3E8E"/>
    <w:rsid w:val="007C4F7D"/>
    <w:rsid w:val="007F3BD1"/>
    <w:rsid w:val="007F5871"/>
    <w:rsid w:val="00816C14"/>
    <w:rsid w:val="008223F6"/>
    <w:rsid w:val="00834C1F"/>
    <w:rsid w:val="008644EC"/>
    <w:rsid w:val="00864ED4"/>
    <w:rsid w:val="00874AF2"/>
    <w:rsid w:val="00893DCE"/>
    <w:rsid w:val="008A60E8"/>
    <w:rsid w:val="008A7071"/>
    <w:rsid w:val="008B7912"/>
    <w:rsid w:val="008F5FE5"/>
    <w:rsid w:val="009016F6"/>
    <w:rsid w:val="00901A79"/>
    <w:rsid w:val="00913D65"/>
    <w:rsid w:val="0092430E"/>
    <w:rsid w:val="00927AA8"/>
    <w:rsid w:val="00946D91"/>
    <w:rsid w:val="009541E7"/>
    <w:rsid w:val="00954F1C"/>
    <w:rsid w:val="009720EA"/>
    <w:rsid w:val="009B1F73"/>
    <w:rsid w:val="009B444E"/>
    <w:rsid w:val="009C4899"/>
    <w:rsid w:val="009C61BB"/>
    <w:rsid w:val="009C7C63"/>
    <w:rsid w:val="009D1030"/>
    <w:rsid w:val="009D3A12"/>
    <w:rsid w:val="009D5A6B"/>
    <w:rsid w:val="009E0259"/>
    <w:rsid w:val="009E3BFA"/>
    <w:rsid w:val="009F2DB5"/>
    <w:rsid w:val="009F5772"/>
    <w:rsid w:val="009F7700"/>
    <w:rsid w:val="00A07EC9"/>
    <w:rsid w:val="00A1083C"/>
    <w:rsid w:val="00A13980"/>
    <w:rsid w:val="00A6030B"/>
    <w:rsid w:val="00A62919"/>
    <w:rsid w:val="00A64E4B"/>
    <w:rsid w:val="00A9244E"/>
    <w:rsid w:val="00A930B9"/>
    <w:rsid w:val="00AA29C6"/>
    <w:rsid w:val="00AB1AC4"/>
    <w:rsid w:val="00AE063C"/>
    <w:rsid w:val="00AE2F22"/>
    <w:rsid w:val="00AF017C"/>
    <w:rsid w:val="00AF2972"/>
    <w:rsid w:val="00B41C07"/>
    <w:rsid w:val="00B44EAC"/>
    <w:rsid w:val="00B477CB"/>
    <w:rsid w:val="00B55637"/>
    <w:rsid w:val="00B613D5"/>
    <w:rsid w:val="00B76D30"/>
    <w:rsid w:val="00B8083A"/>
    <w:rsid w:val="00B93811"/>
    <w:rsid w:val="00B939B8"/>
    <w:rsid w:val="00B9741C"/>
    <w:rsid w:val="00BA00CD"/>
    <w:rsid w:val="00BB3338"/>
    <w:rsid w:val="00BC1C89"/>
    <w:rsid w:val="00BD78D9"/>
    <w:rsid w:val="00BE66C5"/>
    <w:rsid w:val="00BE7F6E"/>
    <w:rsid w:val="00BF5A62"/>
    <w:rsid w:val="00C03F20"/>
    <w:rsid w:val="00C11412"/>
    <w:rsid w:val="00C41FF1"/>
    <w:rsid w:val="00C4314A"/>
    <w:rsid w:val="00C57FE1"/>
    <w:rsid w:val="00C66B3B"/>
    <w:rsid w:val="00C72D47"/>
    <w:rsid w:val="00C76372"/>
    <w:rsid w:val="00C7792D"/>
    <w:rsid w:val="00CB0086"/>
    <w:rsid w:val="00CC1A7B"/>
    <w:rsid w:val="00CC67E9"/>
    <w:rsid w:val="00CC6960"/>
    <w:rsid w:val="00CC6D13"/>
    <w:rsid w:val="00CF2B52"/>
    <w:rsid w:val="00CF71CB"/>
    <w:rsid w:val="00D31D1B"/>
    <w:rsid w:val="00D4428C"/>
    <w:rsid w:val="00D51823"/>
    <w:rsid w:val="00D65A34"/>
    <w:rsid w:val="00D7119E"/>
    <w:rsid w:val="00D71C35"/>
    <w:rsid w:val="00DC0B8C"/>
    <w:rsid w:val="00DD4CDE"/>
    <w:rsid w:val="00E0425E"/>
    <w:rsid w:val="00E34383"/>
    <w:rsid w:val="00E436B7"/>
    <w:rsid w:val="00E50127"/>
    <w:rsid w:val="00E57DEE"/>
    <w:rsid w:val="00E65C3F"/>
    <w:rsid w:val="00E72110"/>
    <w:rsid w:val="00E779EB"/>
    <w:rsid w:val="00E843E3"/>
    <w:rsid w:val="00E90C88"/>
    <w:rsid w:val="00E929D1"/>
    <w:rsid w:val="00EB50E1"/>
    <w:rsid w:val="00EC11D7"/>
    <w:rsid w:val="00EC2183"/>
    <w:rsid w:val="00EC29AF"/>
    <w:rsid w:val="00ED1AE4"/>
    <w:rsid w:val="00EF52FC"/>
    <w:rsid w:val="00F361D3"/>
    <w:rsid w:val="00F37249"/>
    <w:rsid w:val="00F414A0"/>
    <w:rsid w:val="00F42A8E"/>
    <w:rsid w:val="00F54558"/>
    <w:rsid w:val="00F80403"/>
    <w:rsid w:val="00F93851"/>
    <w:rsid w:val="00FA242A"/>
    <w:rsid w:val="00FA4028"/>
    <w:rsid w:val="00FD2DE2"/>
    <w:rsid w:val="00FD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5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F22"/>
    <w:pPr>
      <w:ind w:left="720"/>
      <w:contextualSpacing/>
    </w:pPr>
  </w:style>
  <w:style w:type="paragraph" w:styleId="BalloonText">
    <w:name w:val="Balloon Text"/>
    <w:basedOn w:val="Normal"/>
    <w:link w:val="BalloonTextChar"/>
    <w:uiPriority w:val="99"/>
    <w:semiHidden/>
    <w:unhideWhenUsed/>
    <w:rsid w:val="00AE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22"/>
    <w:rPr>
      <w:rFonts w:ascii="Segoe UI" w:hAnsi="Segoe UI" w:cs="Segoe UI"/>
      <w:sz w:val="18"/>
      <w:szCs w:val="18"/>
    </w:rPr>
  </w:style>
  <w:style w:type="character" w:styleId="Hyperlink">
    <w:name w:val="Hyperlink"/>
    <w:basedOn w:val="DefaultParagraphFont"/>
    <w:uiPriority w:val="99"/>
    <w:unhideWhenUsed/>
    <w:rsid w:val="00755EB5"/>
    <w:rPr>
      <w:color w:val="0563C1"/>
      <w:u w:val="single"/>
    </w:rPr>
  </w:style>
  <w:style w:type="character" w:styleId="CommentReference">
    <w:name w:val="annotation reference"/>
    <w:basedOn w:val="DefaultParagraphFont"/>
    <w:uiPriority w:val="99"/>
    <w:semiHidden/>
    <w:unhideWhenUsed/>
    <w:rsid w:val="004B0996"/>
    <w:rPr>
      <w:sz w:val="16"/>
      <w:szCs w:val="16"/>
    </w:rPr>
  </w:style>
  <w:style w:type="paragraph" w:styleId="CommentText">
    <w:name w:val="annotation text"/>
    <w:basedOn w:val="Normal"/>
    <w:link w:val="CommentTextChar"/>
    <w:uiPriority w:val="99"/>
    <w:semiHidden/>
    <w:unhideWhenUsed/>
    <w:rsid w:val="004B0996"/>
    <w:pPr>
      <w:spacing w:line="240" w:lineRule="auto"/>
    </w:pPr>
    <w:rPr>
      <w:sz w:val="20"/>
      <w:szCs w:val="20"/>
    </w:rPr>
  </w:style>
  <w:style w:type="character" w:customStyle="1" w:styleId="CommentTextChar">
    <w:name w:val="Comment Text Char"/>
    <w:basedOn w:val="DefaultParagraphFont"/>
    <w:link w:val="CommentText"/>
    <w:uiPriority w:val="99"/>
    <w:semiHidden/>
    <w:rsid w:val="004B0996"/>
    <w:rPr>
      <w:sz w:val="20"/>
      <w:szCs w:val="20"/>
    </w:rPr>
  </w:style>
  <w:style w:type="paragraph" w:styleId="CommentSubject">
    <w:name w:val="annotation subject"/>
    <w:basedOn w:val="CommentText"/>
    <w:next w:val="CommentText"/>
    <w:link w:val="CommentSubjectChar"/>
    <w:uiPriority w:val="99"/>
    <w:semiHidden/>
    <w:unhideWhenUsed/>
    <w:rsid w:val="004B0996"/>
    <w:rPr>
      <w:b/>
      <w:bCs/>
    </w:rPr>
  </w:style>
  <w:style w:type="character" w:customStyle="1" w:styleId="CommentSubjectChar">
    <w:name w:val="Comment Subject Char"/>
    <w:basedOn w:val="CommentTextChar"/>
    <w:link w:val="CommentSubject"/>
    <w:uiPriority w:val="99"/>
    <w:semiHidden/>
    <w:rsid w:val="004B0996"/>
    <w:rPr>
      <w:b/>
      <w:bCs/>
      <w:sz w:val="20"/>
      <w:szCs w:val="20"/>
    </w:rPr>
  </w:style>
  <w:style w:type="paragraph" w:styleId="NormalWeb">
    <w:name w:val="Normal (Web)"/>
    <w:basedOn w:val="Normal"/>
    <w:uiPriority w:val="99"/>
    <w:unhideWhenUsed/>
    <w:rsid w:val="009720EA"/>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CB0086"/>
    <w:rPr>
      <w:sz w:val="22"/>
      <w:szCs w:val="22"/>
      <w:lang w:val="en-GB"/>
    </w:rPr>
  </w:style>
  <w:style w:type="character" w:styleId="FollowedHyperlink">
    <w:name w:val="FollowedHyperlink"/>
    <w:basedOn w:val="DefaultParagraphFont"/>
    <w:uiPriority w:val="99"/>
    <w:semiHidden/>
    <w:unhideWhenUsed/>
    <w:rsid w:val="00D7119E"/>
    <w:rPr>
      <w:color w:val="954F72"/>
      <w:u w:val="single"/>
    </w:rPr>
  </w:style>
</w:styles>
</file>

<file path=word/webSettings.xml><?xml version="1.0" encoding="utf-8"?>
<w:webSettings xmlns:r="http://schemas.openxmlformats.org/officeDocument/2006/relationships" xmlns:w="http://schemas.openxmlformats.org/wordprocessingml/2006/main">
  <w:divs>
    <w:div w:id="479464497">
      <w:bodyDiv w:val="1"/>
      <w:marLeft w:val="0"/>
      <w:marRight w:val="0"/>
      <w:marTop w:val="0"/>
      <w:marBottom w:val="0"/>
      <w:divBdr>
        <w:top w:val="none" w:sz="0" w:space="0" w:color="auto"/>
        <w:left w:val="none" w:sz="0" w:space="0" w:color="auto"/>
        <w:bottom w:val="none" w:sz="0" w:space="0" w:color="auto"/>
        <w:right w:val="none" w:sz="0" w:space="0" w:color="auto"/>
      </w:divBdr>
      <w:divsChild>
        <w:div w:id="87431554">
          <w:marLeft w:val="0"/>
          <w:marRight w:val="0"/>
          <w:marTop w:val="0"/>
          <w:marBottom w:val="0"/>
          <w:divBdr>
            <w:top w:val="none" w:sz="0" w:space="0" w:color="auto"/>
            <w:left w:val="none" w:sz="0" w:space="0" w:color="auto"/>
            <w:bottom w:val="none" w:sz="0" w:space="0" w:color="auto"/>
            <w:right w:val="none" w:sz="0" w:space="0" w:color="auto"/>
          </w:divBdr>
          <w:divsChild>
            <w:div w:id="1865750129">
              <w:marLeft w:val="3900"/>
              <w:marRight w:val="0"/>
              <w:marTop w:val="0"/>
              <w:marBottom w:val="0"/>
              <w:divBdr>
                <w:top w:val="none" w:sz="0" w:space="0" w:color="auto"/>
                <w:left w:val="single" w:sz="6" w:space="0" w:color="B2B2B2"/>
                <w:bottom w:val="none" w:sz="0" w:space="0" w:color="auto"/>
                <w:right w:val="none" w:sz="0" w:space="0" w:color="auto"/>
              </w:divBdr>
              <w:divsChild>
                <w:div w:id="421294114">
                  <w:marLeft w:val="0"/>
                  <w:marRight w:val="0"/>
                  <w:marTop w:val="0"/>
                  <w:marBottom w:val="0"/>
                  <w:divBdr>
                    <w:top w:val="none" w:sz="0" w:space="0" w:color="auto"/>
                    <w:left w:val="none" w:sz="0" w:space="0" w:color="auto"/>
                    <w:bottom w:val="none" w:sz="0" w:space="0" w:color="auto"/>
                    <w:right w:val="none" w:sz="0" w:space="0" w:color="auto"/>
                  </w:divBdr>
                  <w:divsChild>
                    <w:div w:id="2020228798">
                      <w:marLeft w:val="0"/>
                      <w:marRight w:val="0"/>
                      <w:marTop w:val="0"/>
                      <w:marBottom w:val="0"/>
                      <w:divBdr>
                        <w:top w:val="none" w:sz="0" w:space="0" w:color="auto"/>
                        <w:left w:val="none" w:sz="0" w:space="0" w:color="auto"/>
                        <w:bottom w:val="none" w:sz="0" w:space="0" w:color="auto"/>
                        <w:right w:val="none" w:sz="0" w:space="0" w:color="auto"/>
                      </w:divBdr>
                      <w:divsChild>
                        <w:div w:id="172956727">
                          <w:marLeft w:val="0"/>
                          <w:marRight w:val="0"/>
                          <w:marTop w:val="0"/>
                          <w:marBottom w:val="0"/>
                          <w:divBdr>
                            <w:top w:val="none" w:sz="0" w:space="0" w:color="auto"/>
                            <w:left w:val="none" w:sz="0" w:space="0" w:color="auto"/>
                            <w:bottom w:val="none" w:sz="0" w:space="0" w:color="auto"/>
                            <w:right w:val="none" w:sz="0" w:space="0" w:color="auto"/>
                          </w:divBdr>
                          <w:divsChild>
                            <w:div w:id="1978291957">
                              <w:marLeft w:val="0"/>
                              <w:marRight w:val="0"/>
                              <w:marTop w:val="0"/>
                              <w:marBottom w:val="0"/>
                              <w:divBdr>
                                <w:top w:val="none" w:sz="0" w:space="0" w:color="auto"/>
                                <w:left w:val="none" w:sz="0" w:space="0" w:color="auto"/>
                                <w:bottom w:val="none" w:sz="0" w:space="0" w:color="auto"/>
                                <w:right w:val="none" w:sz="0" w:space="0" w:color="auto"/>
                              </w:divBdr>
                              <w:divsChild>
                                <w:div w:id="4529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788594">
      <w:bodyDiv w:val="1"/>
      <w:marLeft w:val="0"/>
      <w:marRight w:val="0"/>
      <w:marTop w:val="0"/>
      <w:marBottom w:val="0"/>
      <w:divBdr>
        <w:top w:val="none" w:sz="0" w:space="0" w:color="auto"/>
        <w:left w:val="none" w:sz="0" w:space="0" w:color="auto"/>
        <w:bottom w:val="none" w:sz="0" w:space="0" w:color="auto"/>
        <w:right w:val="none" w:sz="0" w:space="0" w:color="auto"/>
      </w:divBdr>
    </w:div>
    <w:div w:id="2010253622">
      <w:bodyDiv w:val="1"/>
      <w:marLeft w:val="0"/>
      <w:marRight w:val="0"/>
      <w:marTop w:val="0"/>
      <w:marBottom w:val="0"/>
      <w:divBdr>
        <w:top w:val="none" w:sz="0" w:space="0" w:color="auto"/>
        <w:left w:val="none" w:sz="0" w:space="0" w:color="auto"/>
        <w:bottom w:val="none" w:sz="0" w:space="0" w:color="auto"/>
        <w:right w:val="none" w:sz="0" w:space="0" w:color="auto"/>
      </w:divBdr>
      <w:divsChild>
        <w:div w:id="196156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4thway.co.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Sonia@soniarehill.com"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thw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ED142-976D-4375-A270-69352865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1085</Words>
  <Characters>6188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Sony</Company>
  <LinksUpToDate>false</LinksUpToDate>
  <CharactersWithSpaces>7259</CharactersWithSpaces>
  <SharedDoc>false</SharedDoc>
  <HLinks>
    <vt:vector size="18" baseType="variant">
      <vt:variant>
        <vt:i4>851980</vt:i4>
      </vt:variant>
      <vt:variant>
        <vt:i4>6</vt:i4>
      </vt:variant>
      <vt:variant>
        <vt:i4>0</vt:i4>
      </vt:variant>
      <vt:variant>
        <vt:i4>5</vt:i4>
      </vt:variant>
      <vt:variant>
        <vt:lpwstr>http://www.4thway.co.uk/</vt:lpwstr>
      </vt:variant>
      <vt:variant>
        <vt:lpwstr/>
      </vt:variant>
      <vt:variant>
        <vt:i4>917553</vt:i4>
      </vt:variant>
      <vt:variant>
        <vt:i4>3</vt:i4>
      </vt:variant>
      <vt:variant>
        <vt:i4>0</vt:i4>
      </vt:variant>
      <vt:variant>
        <vt:i4>5</vt:i4>
      </vt:variant>
      <vt:variant>
        <vt:lpwstr>mailto:Pr@4thway.co.uk</vt:lpwstr>
      </vt:variant>
      <vt:variant>
        <vt:lpwstr/>
      </vt:variant>
      <vt:variant>
        <vt:i4>786493</vt:i4>
      </vt:variant>
      <vt:variant>
        <vt:i4>0</vt:i4>
      </vt:variant>
      <vt:variant>
        <vt:i4>0</vt:i4>
      </vt:variant>
      <vt:variant>
        <vt:i4>5</vt:i4>
      </vt:variant>
      <vt:variant>
        <vt:lpwstr>mailto:Sonia@soniarehill.com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Rehill</dc:creator>
  <cp:lastModifiedBy>Sonia Rehill</cp:lastModifiedBy>
  <cp:revision>8</cp:revision>
  <dcterms:created xsi:type="dcterms:W3CDTF">2017-09-28T12:51:00Z</dcterms:created>
  <dcterms:modified xsi:type="dcterms:W3CDTF">2017-09-28T13:08:00Z</dcterms:modified>
</cp:coreProperties>
</file>