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616A" w:rsidRPr="00813055" w:rsidRDefault="006C616A">
      <w:pPr>
        <w:jc w:val="both"/>
        <w:rPr>
          <w:rFonts w:asciiTheme="minorHAnsi" w:eastAsia="Times New Roman" w:hAnsiTheme="minorHAnsi" w:cstheme="minorHAnsi"/>
          <w:b/>
          <w:bCs/>
          <w:color w:val="2B2A29"/>
          <w:sz w:val="24"/>
          <w:szCs w:val="24"/>
        </w:rPr>
      </w:pPr>
      <w:r w:rsidRPr="00813055">
        <w:rPr>
          <w:rFonts w:asciiTheme="minorHAnsi" w:hAnsiTheme="minorHAnsi" w:cstheme="minorHAnsi"/>
          <w:b/>
          <w:iCs/>
          <w:color w:val="2B2A29"/>
          <w:sz w:val="36"/>
          <w:szCs w:val="36"/>
        </w:rPr>
        <w:t xml:space="preserve">PRESS </w:t>
      </w:r>
      <w:r w:rsidR="003D0AE7" w:rsidRPr="00813055">
        <w:rPr>
          <w:rFonts w:asciiTheme="minorHAnsi" w:hAnsiTheme="minorHAnsi" w:cstheme="minorHAnsi"/>
          <w:b/>
          <w:iCs/>
          <w:color w:val="2B2A29"/>
          <w:sz w:val="36"/>
          <w:szCs w:val="36"/>
        </w:rPr>
        <w:t>RELEASE</w:t>
      </w:r>
      <w:r w:rsidRPr="00813055">
        <w:rPr>
          <w:rFonts w:asciiTheme="minorHAnsi" w:hAnsiTheme="minorHAnsi" w:cstheme="minorHAnsi"/>
          <w:i/>
          <w:iCs/>
          <w:color w:val="2B2A29"/>
          <w:sz w:val="20"/>
          <w:szCs w:val="20"/>
        </w:rPr>
        <w:t xml:space="preserve"> </w:t>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Pr="00813055">
        <w:rPr>
          <w:rFonts w:asciiTheme="minorHAnsi" w:hAnsiTheme="minorHAnsi" w:cstheme="minorHAnsi"/>
          <w:i/>
          <w:iCs/>
          <w:color w:val="2B2A29"/>
          <w:sz w:val="20"/>
          <w:szCs w:val="20"/>
        </w:rPr>
        <w:tab/>
      </w:r>
      <w:r w:rsidR="00083E07" w:rsidRPr="00813055">
        <w:rPr>
          <w:rFonts w:asciiTheme="minorHAnsi" w:hAnsiTheme="minorHAnsi" w:cstheme="minorHAnsi"/>
          <w:noProof/>
          <w:color w:val="2B2A29"/>
          <w:lang w:val="en-US" w:eastAsia="en-US"/>
        </w:rPr>
        <w:drawing>
          <wp:inline distT="0" distB="0" distL="0" distR="0">
            <wp:extent cx="8763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6C616A" w:rsidRPr="00813055" w:rsidRDefault="00097BD0" w:rsidP="00625817">
      <w:pPr>
        <w:pStyle w:val="NoSpacing"/>
        <w:spacing w:line="276" w:lineRule="auto"/>
        <w:jc w:val="center"/>
        <w:rPr>
          <w:rFonts w:asciiTheme="minorHAnsi" w:hAnsiTheme="minorHAnsi" w:cstheme="minorHAnsi"/>
          <w:b/>
          <w:sz w:val="28"/>
          <w:szCs w:val="28"/>
        </w:rPr>
      </w:pPr>
      <w:r w:rsidRPr="00813055">
        <w:rPr>
          <w:rFonts w:asciiTheme="minorHAnsi" w:hAnsiTheme="minorHAnsi" w:cstheme="minorHAnsi"/>
          <w:b/>
          <w:sz w:val="28"/>
          <w:szCs w:val="28"/>
        </w:rPr>
        <w:t>***</w:t>
      </w:r>
      <w:r w:rsidR="009D285C" w:rsidRPr="00813055">
        <w:rPr>
          <w:rFonts w:asciiTheme="minorHAnsi" w:hAnsiTheme="minorHAnsi" w:cstheme="minorHAnsi"/>
          <w:b/>
          <w:sz w:val="28"/>
          <w:szCs w:val="28"/>
        </w:rPr>
        <w:t xml:space="preserve"> </w:t>
      </w:r>
      <w:r w:rsidR="00161936" w:rsidRPr="00813055">
        <w:rPr>
          <w:rFonts w:asciiTheme="minorHAnsi" w:hAnsiTheme="minorHAnsi" w:cstheme="minorHAnsi"/>
          <w:b/>
          <w:sz w:val="28"/>
          <w:szCs w:val="28"/>
        </w:rPr>
        <w:t xml:space="preserve">Monday </w:t>
      </w:r>
      <w:r w:rsidR="00625817" w:rsidRPr="00813055">
        <w:rPr>
          <w:rFonts w:asciiTheme="minorHAnsi" w:hAnsiTheme="minorHAnsi" w:cstheme="minorHAnsi"/>
          <w:b/>
          <w:sz w:val="28"/>
          <w:szCs w:val="28"/>
        </w:rPr>
        <w:t>6</w:t>
      </w:r>
      <w:r w:rsidR="000E1F1E" w:rsidRPr="00813055">
        <w:rPr>
          <w:rFonts w:asciiTheme="minorHAnsi" w:hAnsiTheme="minorHAnsi" w:cstheme="minorHAnsi"/>
          <w:b/>
          <w:sz w:val="28"/>
          <w:szCs w:val="28"/>
          <w:vertAlign w:val="superscript"/>
        </w:rPr>
        <w:t>th</w:t>
      </w:r>
      <w:r w:rsidR="000E1F1E" w:rsidRPr="00813055">
        <w:rPr>
          <w:rFonts w:asciiTheme="minorHAnsi" w:hAnsiTheme="minorHAnsi" w:cstheme="minorHAnsi"/>
          <w:b/>
          <w:sz w:val="28"/>
          <w:szCs w:val="28"/>
        </w:rPr>
        <w:t xml:space="preserve"> </w:t>
      </w:r>
      <w:r w:rsidR="00625817" w:rsidRPr="00813055">
        <w:rPr>
          <w:rFonts w:asciiTheme="minorHAnsi" w:hAnsiTheme="minorHAnsi" w:cstheme="minorHAnsi"/>
          <w:b/>
          <w:sz w:val="28"/>
          <w:szCs w:val="28"/>
        </w:rPr>
        <w:t>March 2017</w:t>
      </w:r>
      <w:r w:rsidR="00924D1E" w:rsidRPr="00813055">
        <w:rPr>
          <w:rFonts w:asciiTheme="minorHAnsi" w:hAnsiTheme="minorHAnsi" w:cstheme="minorHAnsi"/>
          <w:b/>
          <w:sz w:val="28"/>
          <w:szCs w:val="28"/>
        </w:rPr>
        <w:t xml:space="preserve"> </w:t>
      </w:r>
      <w:r w:rsidRPr="00813055">
        <w:rPr>
          <w:rFonts w:asciiTheme="minorHAnsi" w:hAnsiTheme="minorHAnsi" w:cstheme="minorHAnsi"/>
          <w:b/>
          <w:sz w:val="28"/>
          <w:szCs w:val="28"/>
        </w:rPr>
        <w:t>***</w:t>
      </w:r>
    </w:p>
    <w:p w:rsidR="00813055" w:rsidRPr="00813055" w:rsidRDefault="00813055" w:rsidP="00813055">
      <w:pPr>
        <w:pStyle w:val="NoSpacing"/>
        <w:rPr>
          <w:sz w:val="16"/>
          <w:szCs w:val="16"/>
        </w:rPr>
      </w:pPr>
    </w:p>
    <w:p w:rsidR="00625817" w:rsidRDefault="00813055" w:rsidP="00625817">
      <w:pPr>
        <w:pStyle w:val="NoSpacing"/>
        <w:spacing w:line="276" w:lineRule="auto"/>
        <w:jc w:val="center"/>
        <w:rPr>
          <w:rFonts w:asciiTheme="minorHAnsi" w:hAnsiTheme="minorHAnsi" w:cstheme="minorHAnsi"/>
          <w:b/>
          <w:sz w:val="32"/>
          <w:szCs w:val="32"/>
        </w:rPr>
      </w:pPr>
      <w:r>
        <w:rPr>
          <w:rFonts w:asciiTheme="minorHAnsi" w:hAnsiTheme="minorHAnsi" w:cstheme="minorHAnsi"/>
          <w:b/>
          <w:sz w:val="32"/>
          <w:szCs w:val="32"/>
        </w:rPr>
        <w:t>IFISAS CAN BEAT SAVINGS IN SEVERE FINANCIAL CRISIS</w:t>
      </w:r>
    </w:p>
    <w:p w:rsidR="001F60DC" w:rsidRPr="001F60DC" w:rsidRDefault="00813055" w:rsidP="00813055">
      <w:pPr>
        <w:pStyle w:val="NoSpacing"/>
        <w:spacing w:line="276" w:lineRule="auto"/>
        <w:jc w:val="center"/>
        <w:rPr>
          <w:rFonts w:asciiTheme="minorHAnsi" w:hAnsiTheme="minorHAnsi" w:cstheme="minorHAnsi"/>
          <w:b/>
          <w:sz w:val="28"/>
          <w:szCs w:val="28"/>
        </w:rPr>
      </w:pPr>
      <w:r w:rsidRPr="001F60DC">
        <w:rPr>
          <w:rFonts w:asciiTheme="minorHAnsi" w:hAnsiTheme="minorHAnsi" w:cstheme="minorHAnsi"/>
          <w:b/>
          <w:sz w:val="28"/>
          <w:szCs w:val="28"/>
        </w:rPr>
        <w:t xml:space="preserve">New analysis by 4thWay shows investors can expect to earn up to </w:t>
      </w:r>
    </w:p>
    <w:p w:rsidR="00813055" w:rsidRPr="001F60DC" w:rsidRDefault="00813055" w:rsidP="00813055">
      <w:pPr>
        <w:pStyle w:val="NoSpacing"/>
        <w:spacing w:line="276" w:lineRule="auto"/>
        <w:jc w:val="center"/>
        <w:rPr>
          <w:rFonts w:asciiTheme="minorHAnsi" w:hAnsiTheme="minorHAnsi" w:cstheme="minorHAnsi"/>
          <w:b/>
          <w:sz w:val="28"/>
          <w:szCs w:val="28"/>
        </w:rPr>
      </w:pPr>
      <w:r w:rsidRPr="001F60DC">
        <w:rPr>
          <w:rFonts w:asciiTheme="minorHAnsi" w:hAnsiTheme="minorHAnsi" w:cstheme="minorHAnsi"/>
          <w:b/>
          <w:sz w:val="28"/>
          <w:szCs w:val="28"/>
        </w:rPr>
        <w:t xml:space="preserve">four times more </w:t>
      </w:r>
      <w:r w:rsidR="001F60DC" w:rsidRPr="001F60DC">
        <w:rPr>
          <w:rFonts w:asciiTheme="minorHAnsi" w:hAnsiTheme="minorHAnsi" w:cstheme="minorHAnsi"/>
          <w:b/>
          <w:sz w:val="28"/>
          <w:szCs w:val="28"/>
        </w:rPr>
        <w:t>than top savings accounts and cash ISAs</w:t>
      </w:r>
      <w:r w:rsidRPr="001F60DC">
        <w:rPr>
          <w:rFonts w:asciiTheme="minorHAnsi" w:hAnsiTheme="minorHAnsi" w:cstheme="minorHAnsi"/>
          <w:b/>
          <w:sz w:val="28"/>
          <w:szCs w:val="28"/>
        </w:rPr>
        <w:t xml:space="preserve"> </w:t>
      </w:r>
    </w:p>
    <w:p w:rsidR="00813055" w:rsidRPr="003323AB" w:rsidRDefault="00813055" w:rsidP="003323AB">
      <w:pPr>
        <w:pStyle w:val="NoSpacing"/>
      </w:pPr>
    </w:p>
    <w:p w:rsidR="002B03B5" w:rsidRPr="00F91E8C" w:rsidRDefault="00A85B00" w:rsidP="00F91E8C">
      <w:pPr>
        <w:pStyle w:val="NoSpacing"/>
        <w:spacing w:line="276" w:lineRule="auto"/>
        <w:jc w:val="both"/>
        <w:rPr>
          <w:sz w:val="24"/>
          <w:szCs w:val="24"/>
        </w:rPr>
      </w:pPr>
      <w:r w:rsidRPr="00F91E8C">
        <w:rPr>
          <w:sz w:val="24"/>
          <w:szCs w:val="24"/>
        </w:rPr>
        <w:t>Investors can expect to earn two to four times more money through IFISAs even through another 2008 financial c</w:t>
      </w:r>
      <w:r w:rsidR="003323AB" w:rsidRPr="00F91E8C">
        <w:rPr>
          <w:sz w:val="24"/>
          <w:szCs w:val="24"/>
        </w:rPr>
        <w:t>risis, according to stress tests carried out by peer-to-peer lending research agency</w:t>
      </w:r>
      <w:r w:rsidRPr="00F91E8C">
        <w:rPr>
          <w:sz w:val="24"/>
          <w:szCs w:val="24"/>
        </w:rPr>
        <w:t xml:space="preserve"> 4thWay</w:t>
      </w:r>
      <w:r w:rsidR="00813055" w:rsidRPr="00F91E8C">
        <w:rPr>
          <w:sz w:val="24"/>
          <w:szCs w:val="24"/>
        </w:rPr>
        <w:t xml:space="preserve">. </w:t>
      </w:r>
      <w:r w:rsidR="002B03B5" w:rsidRPr="00F91E8C">
        <w:rPr>
          <w:rFonts w:asciiTheme="minorHAnsi" w:hAnsiTheme="minorHAnsi" w:cstheme="minorHAnsi"/>
          <w:sz w:val="24"/>
          <w:szCs w:val="24"/>
        </w:rPr>
        <w:t xml:space="preserve">When lending through the </w:t>
      </w:r>
      <w:r w:rsidR="000A21A7" w:rsidRPr="00F91E8C">
        <w:rPr>
          <w:rFonts w:asciiTheme="minorHAnsi" w:hAnsiTheme="minorHAnsi" w:cstheme="minorHAnsi"/>
          <w:sz w:val="24"/>
          <w:szCs w:val="24"/>
        </w:rPr>
        <w:t xml:space="preserve">currently </w:t>
      </w:r>
      <w:r w:rsidR="002B03B5" w:rsidRPr="00F91E8C">
        <w:rPr>
          <w:rFonts w:asciiTheme="minorHAnsi" w:hAnsiTheme="minorHAnsi" w:cstheme="minorHAnsi"/>
          <w:sz w:val="24"/>
          <w:szCs w:val="24"/>
        </w:rPr>
        <w:t>eight available IFISAs</w:t>
      </w:r>
      <w:r w:rsidR="002B4CB6">
        <w:rPr>
          <w:rFonts w:asciiTheme="minorHAnsi" w:hAnsiTheme="minorHAnsi" w:cstheme="minorHAnsi"/>
          <w:sz w:val="24"/>
          <w:szCs w:val="24"/>
        </w:rPr>
        <w:t xml:space="preserve"> </w:t>
      </w:r>
      <w:r w:rsidR="002B4CB6" w:rsidRPr="002B4CB6">
        <w:rPr>
          <w:rFonts w:asciiTheme="minorHAnsi" w:hAnsiTheme="minorHAnsi" w:cstheme="minorHAnsi"/>
          <w:sz w:val="24"/>
          <w:szCs w:val="24"/>
          <w:vertAlign w:val="superscript"/>
        </w:rPr>
        <w:t>(1)</w:t>
      </w:r>
      <w:r w:rsidR="002B03B5" w:rsidRPr="00F91E8C">
        <w:rPr>
          <w:rFonts w:asciiTheme="minorHAnsi" w:hAnsiTheme="minorHAnsi" w:cstheme="minorHAnsi"/>
          <w:sz w:val="24"/>
          <w:szCs w:val="24"/>
        </w:rPr>
        <w:t xml:space="preserve">, the majority of investors can </w:t>
      </w:r>
      <w:r w:rsidR="000A21A7" w:rsidRPr="00F91E8C">
        <w:rPr>
          <w:rFonts w:asciiTheme="minorHAnsi" w:hAnsiTheme="minorHAnsi" w:cstheme="minorHAnsi"/>
          <w:sz w:val="24"/>
          <w:szCs w:val="24"/>
        </w:rPr>
        <w:t xml:space="preserve">expect to make </w:t>
      </w:r>
      <w:r w:rsidR="002B03B5" w:rsidRPr="00F91E8C">
        <w:rPr>
          <w:rFonts w:asciiTheme="minorHAnsi" w:hAnsiTheme="minorHAnsi" w:cstheme="minorHAnsi"/>
          <w:sz w:val="24"/>
          <w:szCs w:val="24"/>
        </w:rPr>
        <w:t>more money than they would with the best savings accounts and cash ISA</w:t>
      </w:r>
      <w:r w:rsidR="000A21A7" w:rsidRPr="00F91E8C">
        <w:rPr>
          <w:rFonts w:asciiTheme="minorHAnsi" w:hAnsiTheme="minorHAnsi" w:cstheme="minorHAnsi"/>
          <w:sz w:val="24"/>
          <w:szCs w:val="24"/>
        </w:rPr>
        <w:t>s</w:t>
      </w:r>
      <w:r w:rsidR="002B4CB6">
        <w:rPr>
          <w:rFonts w:asciiTheme="minorHAnsi" w:hAnsiTheme="minorHAnsi" w:cstheme="minorHAnsi"/>
          <w:sz w:val="24"/>
          <w:szCs w:val="24"/>
        </w:rPr>
        <w:t xml:space="preserve"> </w:t>
      </w:r>
      <w:r w:rsidR="00A86FC3">
        <w:rPr>
          <w:rFonts w:asciiTheme="minorHAnsi" w:hAnsiTheme="minorHAnsi" w:cstheme="minorHAnsi"/>
          <w:sz w:val="24"/>
          <w:szCs w:val="24"/>
          <w:vertAlign w:val="superscript"/>
        </w:rPr>
        <w:t>(2</w:t>
      </w:r>
      <w:r w:rsidR="002B4CB6" w:rsidRPr="002B4CB6">
        <w:rPr>
          <w:rFonts w:asciiTheme="minorHAnsi" w:hAnsiTheme="minorHAnsi" w:cstheme="minorHAnsi"/>
          <w:sz w:val="24"/>
          <w:szCs w:val="24"/>
          <w:vertAlign w:val="superscript"/>
        </w:rPr>
        <w:t>)</w:t>
      </w:r>
      <w:r w:rsidR="000A21A7" w:rsidRPr="00F91E8C">
        <w:rPr>
          <w:rFonts w:asciiTheme="minorHAnsi" w:hAnsiTheme="minorHAnsi" w:cstheme="minorHAnsi"/>
          <w:sz w:val="24"/>
          <w:szCs w:val="24"/>
        </w:rPr>
        <w:t>.</w:t>
      </w:r>
    </w:p>
    <w:p w:rsidR="002B03B5" w:rsidRPr="00F91E8C" w:rsidRDefault="002B03B5" w:rsidP="00F91E8C">
      <w:pPr>
        <w:pStyle w:val="NoSpacing"/>
      </w:pPr>
    </w:p>
    <w:p w:rsidR="00F76F6E" w:rsidRPr="00FF39F7" w:rsidRDefault="00F76F6E" w:rsidP="00F91E8C">
      <w:pPr>
        <w:pStyle w:val="Standard1"/>
        <w:jc w:val="both"/>
        <w:rPr>
          <w:rFonts w:asciiTheme="minorHAnsi" w:hAnsiTheme="minorHAnsi" w:cstheme="minorHAnsi"/>
          <w:color w:val="auto"/>
          <w:sz w:val="24"/>
          <w:szCs w:val="24"/>
        </w:rPr>
      </w:pPr>
      <w:r w:rsidRPr="00FF39F7">
        <w:rPr>
          <w:rFonts w:asciiTheme="minorHAnsi" w:hAnsiTheme="minorHAnsi" w:cstheme="minorHAnsi"/>
          <w:color w:val="auto"/>
          <w:sz w:val="24"/>
          <w:szCs w:val="24"/>
        </w:rPr>
        <w:t xml:space="preserve">Interest in </w:t>
      </w:r>
      <w:r w:rsidR="006C26C8" w:rsidRPr="00FF39F7">
        <w:rPr>
          <w:rFonts w:asciiTheme="minorHAnsi" w:hAnsiTheme="minorHAnsi" w:cstheme="minorHAnsi"/>
          <w:color w:val="auto"/>
          <w:sz w:val="24"/>
          <w:szCs w:val="24"/>
        </w:rPr>
        <w:t xml:space="preserve">a </w:t>
      </w:r>
      <w:r w:rsidR="00AD6A63" w:rsidRPr="00FF39F7">
        <w:rPr>
          <w:rFonts w:asciiTheme="minorHAnsi" w:hAnsiTheme="minorHAnsi" w:cstheme="minorHAnsi"/>
          <w:color w:val="auto"/>
          <w:sz w:val="24"/>
          <w:szCs w:val="24"/>
        </w:rPr>
        <w:t xml:space="preserve">repeat crisis </w:t>
      </w:r>
      <w:r w:rsidRPr="00FF39F7">
        <w:rPr>
          <w:rFonts w:asciiTheme="minorHAnsi" w:hAnsiTheme="minorHAnsi" w:cstheme="minorHAnsi"/>
          <w:color w:val="auto"/>
          <w:sz w:val="24"/>
          <w:szCs w:val="24"/>
        </w:rPr>
        <w:t xml:space="preserve">would amount to under 10% </w:t>
      </w:r>
      <w:r w:rsidR="00BD36EF" w:rsidRPr="00FF39F7">
        <w:rPr>
          <w:rFonts w:asciiTheme="minorHAnsi" w:hAnsiTheme="minorHAnsi" w:cstheme="minorHAnsi"/>
          <w:color w:val="auto"/>
          <w:sz w:val="24"/>
          <w:szCs w:val="24"/>
        </w:rPr>
        <w:t xml:space="preserve">over five years </w:t>
      </w:r>
      <w:r w:rsidRPr="00FF39F7">
        <w:rPr>
          <w:rFonts w:asciiTheme="minorHAnsi" w:hAnsiTheme="minorHAnsi" w:cstheme="minorHAnsi"/>
          <w:color w:val="auto"/>
          <w:sz w:val="24"/>
          <w:szCs w:val="24"/>
        </w:rPr>
        <w:t>from the top cash ISA at current interest rates, but it would average between 20% and 40% after deducting bad debts at 4thWay PLUS-rated IFISA providers Landbay, Lending Works and HNW Lending.</w:t>
      </w:r>
    </w:p>
    <w:p w:rsidR="00F76F6E" w:rsidRDefault="00F76F6E" w:rsidP="00F91E8C">
      <w:pPr>
        <w:pStyle w:val="Standard1"/>
        <w:jc w:val="both"/>
        <w:rPr>
          <w:rFonts w:asciiTheme="minorHAnsi" w:hAnsiTheme="minorHAnsi" w:cstheme="minorHAnsi"/>
          <w:sz w:val="24"/>
          <w:szCs w:val="24"/>
        </w:rPr>
      </w:pPr>
    </w:p>
    <w:p w:rsidR="007E5073" w:rsidRDefault="002B03B5" w:rsidP="00F80089">
      <w:pPr>
        <w:pStyle w:val="Standard1"/>
        <w:jc w:val="both"/>
        <w:rPr>
          <w:rFonts w:asciiTheme="minorHAnsi" w:hAnsiTheme="minorHAnsi" w:cstheme="minorHAnsi"/>
          <w:sz w:val="24"/>
          <w:szCs w:val="24"/>
        </w:rPr>
      </w:pPr>
      <w:r w:rsidRPr="00D00FFD">
        <w:rPr>
          <w:rFonts w:asciiTheme="minorHAnsi" w:hAnsiTheme="minorHAnsi" w:cstheme="minorHAnsi"/>
          <w:sz w:val="24"/>
          <w:szCs w:val="24"/>
        </w:rPr>
        <w:t>Looking</w:t>
      </w:r>
      <w:r w:rsidRPr="00F91E8C">
        <w:rPr>
          <w:rFonts w:asciiTheme="minorHAnsi" w:hAnsiTheme="minorHAnsi" w:cstheme="minorHAnsi"/>
          <w:sz w:val="24"/>
          <w:szCs w:val="24"/>
        </w:rPr>
        <w:t xml:space="preserve"> at IFISA providers Landbay (property lending to experienced BTL landlords), Lending Works (lending to prime individual borrowers) and HNW Lending (property lending to</w:t>
      </w:r>
      <w:r w:rsidR="00F91E8C">
        <w:rPr>
          <w:rFonts w:asciiTheme="minorHAnsi" w:hAnsiTheme="minorHAnsi" w:cstheme="minorHAnsi"/>
          <w:sz w:val="24"/>
          <w:szCs w:val="24"/>
        </w:rPr>
        <w:t xml:space="preserve"> wealthy individuals),</w:t>
      </w:r>
      <w:r w:rsidRPr="00F91E8C">
        <w:rPr>
          <w:rFonts w:asciiTheme="minorHAnsi" w:hAnsiTheme="minorHAnsi" w:cstheme="minorHAnsi"/>
          <w:sz w:val="24"/>
          <w:szCs w:val="24"/>
        </w:rPr>
        <w:t xml:space="preserve"> more than £100 million lent through these platforms is well protected against a severe disaster.</w:t>
      </w:r>
      <w:r w:rsidR="00D00FFD">
        <w:rPr>
          <w:rFonts w:asciiTheme="minorHAnsi" w:hAnsiTheme="minorHAnsi" w:cstheme="minorHAnsi"/>
          <w:sz w:val="24"/>
          <w:szCs w:val="24"/>
        </w:rPr>
        <w:t xml:space="preserve"> </w:t>
      </w:r>
      <w:r w:rsidR="007E5073">
        <w:rPr>
          <w:rFonts w:asciiTheme="minorHAnsi" w:hAnsiTheme="minorHAnsi" w:cstheme="minorHAnsi"/>
          <w:sz w:val="24"/>
          <w:szCs w:val="24"/>
        </w:rPr>
        <w:t xml:space="preserve"> </w:t>
      </w:r>
    </w:p>
    <w:p w:rsidR="007E5073" w:rsidRDefault="007E5073" w:rsidP="00F80089">
      <w:pPr>
        <w:pStyle w:val="Standard1"/>
        <w:jc w:val="both"/>
        <w:rPr>
          <w:rFonts w:asciiTheme="minorHAnsi" w:hAnsiTheme="minorHAnsi" w:cstheme="minorHAnsi"/>
          <w:sz w:val="24"/>
          <w:szCs w:val="24"/>
        </w:rPr>
      </w:pPr>
    </w:p>
    <w:p w:rsidR="00F80089" w:rsidRPr="00F91E8C" w:rsidRDefault="00F80089" w:rsidP="00F80089">
      <w:pPr>
        <w:pStyle w:val="Standard1"/>
        <w:jc w:val="both"/>
        <w:rPr>
          <w:rFonts w:asciiTheme="minorHAnsi" w:hAnsiTheme="minorHAnsi" w:cstheme="minorHAnsi"/>
          <w:sz w:val="24"/>
          <w:szCs w:val="24"/>
        </w:rPr>
      </w:pPr>
      <w:r w:rsidRPr="00F91E8C">
        <w:rPr>
          <w:rFonts w:asciiTheme="minorHAnsi" w:hAnsiTheme="minorHAnsi" w:cstheme="minorHAnsi"/>
          <w:sz w:val="24"/>
          <w:szCs w:val="24"/>
        </w:rPr>
        <w:t xml:space="preserve">This is made possible by the platforms, with most of them </w:t>
      </w:r>
      <w:r w:rsidR="002A053F">
        <w:rPr>
          <w:rFonts w:asciiTheme="minorHAnsi" w:hAnsiTheme="minorHAnsi" w:cstheme="minorHAnsi"/>
          <w:sz w:val="24"/>
          <w:szCs w:val="24"/>
        </w:rPr>
        <w:t>offering either</w:t>
      </w:r>
      <w:r w:rsidRPr="00F91E8C">
        <w:rPr>
          <w:rFonts w:asciiTheme="minorHAnsi" w:hAnsiTheme="minorHAnsi" w:cstheme="minorHAnsi"/>
          <w:sz w:val="24"/>
          <w:szCs w:val="24"/>
        </w:rPr>
        <w:t xml:space="preserve"> experienced underwriters approving the loans to quality borrowers, insurance </w:t>
      </w:r>
      <w:r w:rsidR="002A053F">
        <w:rPr>
          <w:rFonts w:asciiTheme="minorHAnsi" w:hAnsiTheme="minorHAnsi" w:cstheme="minorHAnsi"/>
          <w:sz w:val="24"/>
          <w:szCs w:val="24"/>
        </w:rPr>
        <w:t>or</w:t>
      </w:r>
      <w:r w:rsidR="002A053F" w:rsidRPr="00F91E8C">
        <w:rPr>
          <w:rFonts w:asciiTheme="minorHAnsi" w:hAnsiTheme="minorHAnsi" w:cstheme="minorHAnsi"/>
          <w:sz w:val="24"/>
          <w:szCs w:val="24"/>
        </w:rPr>
        <w:t xml:space="preserve"> </w:t>
      </w:r>
      <w:r w:rsidRPr="00F91E8C">
        <w:rPr>
          <w:rFonts w:asciiTheme="minorHAnsi" w:hAnsiTheme="minorHAnsi" w:cstheme="minorHAnsi"/>
          <w:sz w:val="24"/>
          <w:szCs w:val="24"/>
        </w:rPr>
        <w:t xml:space="preserve">reserve funds to cover first losses, </w:t>
      </w:r>
      <w:r w:rsidR="00BD36EF">
        <w:rPr>
          <w:rFonts w:asciiTheme="minorHAnsi" w:hAnsiTheme="minorHAnsi" w:cstheme="minorHAnsi"/>
          <w:sz w:val="24"/>
          <w:szCs w:val="24"/>
        </w:rPr>
        <w:t>and/</w:t>
      </w:r>
      <w:r w:rsidRPr="00F91E8C">
        <w:rPr>
          <w:rFonts w:asciiTheme="minorHAnsi" w:hAnsiTheme="minorHAnsi" w:cstheme="minorHAnsi"/>
          <w:sz w:val="24"/>
          <w:szCs w:val="24"/>
        </w:rPr>
        <w:t>or property security that is far more valuable than the underlying loans.</w:t>
      </w:r>
    </w:p>
    <w:p w:rsidR="002B03B5" w:rsidRPr="00F91E8C" w:rsidRDefault="002B03B5" w:rsidP="00F91E8C">
      <w:pPr>
        <w:pStyle w:val="Standard1"/>
        <w:jc w:val="both"/>
        <w:rPr>
          <w:rFonts w:asciiTheme="minorHAnsi" w:hAnsiTheme="minorHAnsi" w:cstheme="minorHAnsi"/>
          <w:sz w:val="24"/>
          <w:szCs w:val="24"/>
        </w:rPr>
      </w:pPr>
    </w:p>
    <w:p w:rsidR="00D00FFD" w:rsidRDefault="002B03B5" w:rsidP="00D00FFD">
      <w:pPr>
        <w:pStyle w:val="BodyText"/>
        <w:spacing w:after="0"/>
        <w:jc w:val="both"/>
        <w:rPr>
          <w:color w:val="2B2A29"/>
        </w:rPr>
      </w:pPr>
      <w:r w:rsidRPr="00F91E8C">
        <w:rPr>
          <w:rFonts w:asciiTheme="minorHAnsi" w:hAnsiTheme="minorHAnsi" w:cstheme="minorHAnsi"/>
          <w:sz w:val="24"/>
          <w:szCs w:val="24"/>
        </w:rPr>
        <w:t>4thWay’s stress tests</w:t>
      </w:r>
      <w:r w:rsidR="002B4CB6">
        <w:rPr>
          <w:rFonts w:asciiTheme="minorHAnsi" w:hAnsiTheme="minorHAnsi" w:cstheme="minorHAnsi"/>
          <w:sz w:val="24"/>
          <w:szCs w:val="24"/>
        </w:rPr>
        <w:t xml:space="preserve"> </w:t>
      </w:r>
      <w:r w:rsidR="00D00FFD">
        <w:rPr>
          <w:rFonts w:asciiTheme="minorHAnsi" w:hAnsiTheme="minorHAnsi" w:cstheme="minorHAnsi"/>
          <w:sz w:val="24"/>
          <w:szCs w:val="24"/>
        </w:rPr>
        <w:t>are</w:t>
      </w:r>
      <w:r w:rsidRPr="00F91E8C">
        <w:rPr>
          <w:rFonts w:asciiTheme="minorHAnsi" w:hAnsiTheme="minorHAnsi" w:cstheme="minorHAnsi"/>
          <w:sz w:val="24"/>
          <w:szCs w:val="24"/>
        </w:rPr>
        <w:t xml:space="preserve"> based on an extreme version of the international </w:t>
      </w:r>
      <w:r w:rsidR="00D00FFD">
        <w:rPr>
          <w:rFonts w:asciiTheme="minorHAnsi" w:hAnsiTheme="minorHAnsi" w:cstheme="minorHAnsi"/>
          <w:sz w:val="24"/>
          <w:szCs w:val="24"/>
        </w:rPr>
        <w:t>banking standard “Basel” tests.</w:t>
      </w:r>
      <w:r w:rsidR="00AA24C9">
        <w:rPr>
          <w:rFonts w:asciiTheme="minorHAnsi" w:hAnsiTheme="minorHAnsi" w:cstheme="minorHAnsi"/>
          <w:sz w:val="24"/>
          <w:szCs w:val="24"/>
        </w:rPr>
        <w:t xml:space="preserve"> </w:t>
      </w:r>
      <w:r w:rsidR="00AA24C9" w:rsidRPr="006C26C8">
        <w:rPr>
          <w:rFonts w:asciiTheme="minorHAnsi" w:hAnsiTheme="minorHAnsi" w:cstheme="minorHAnsi"/>
          <w:sz w:val="24"/>
          <w:szCs w:val="24"/>
        </w:rPr>
        <w:t xml:space="preserve">They look at </w:t>
      </w:r>
      <w:r w:rsidR="00F76F6E" w:rsidRPr="006C26C8">
        <w:rPr>
          <w:rFonts w:asciiTheme="minorHAnsi" w:hAnsiTheme="minorHAnsi" w:cstheme="minorHAnsi"/>
          <w:sz w:val="24"/>
          <w:szCs w:val="24"/>
        </w:rPr>
        <w:t xml:space="preserve">the intrinsic risks in the </w:t>
      </w:r>
      <w:r w:rsidR="002A053F">
        <w:rPr>
          <w:rFonts w:asciiTheme="minorHAnsi" w:hAnsiTheme="minorHAnsi" w:cstheme="minorHAnsi"/>
          <w:sz w:val="24"/>
          <w:szCs w:val="24"/>
        </w:rPr>
        <w:t xml:space="preserve">specific </w:t>
      </w:r>
      <w:r w:rsidR="00F76F6E" w:rsidRPr="006C26C8">
        <w:rPr>
          <w:rFonts w:asciiTheme="minorHAnsi" w:hAnsiTheme="minorHAnsi" w:cstheme="minorHAnsi"/>
          <w:sz w:val="24"/>
          <w:szCs w:val="24"/>
        </w:rPr>
        <w:t xml:space="preserve">type of </w:t>
      </w:r>
      <w:r w:rsidR="002A053F">
        <w:rPr>
          <w:rFonts w:asciiTheme="minorHAnsi" w:hAnsiTheme="minorHAnsi" w:cstheme="minorHAnsi"/>
          <w:sz w:val="24"/>
          <w:szCs w:val="24"/>
        </w:rPr>
        <w:t>loans</w:t>
      </w:r>
      <w:r w:rsidR="00F76F6E" w:rsidRPr="006C26C8">
        <w:rPr>
          <w:rFonts w:asciiTheme="minorHAnsi" w:hAnsiTheme="minorHAnsi" w:cstheme="minorHAnsi"/>
          <w:sz w:val="24"/>
          <w:szCs w:val="24"/>
        </w:rPr>
        <w:t>, the history and record of bad debts, the interest rates, and protections like security and reserve funds.</w:t>
      </w:r>
    </w:p>
    <w:p w:rsidR="002B03B5" w:rsidRPr="00813055" w:rsidRDefault="002B03B5" w:rsidP="00F91E8C">
      <w:pPr>
        <w:pStyle w:val="NoSpacing"/>
      </w:pPr>
    </w:p>
    <w:p w:rsidR="00F91E8C" w:rsidRPr="00173B85" w:rsidRDefault="00F91E8C" w:rsidP="007E5073">
      <w:pPr>
        <w:pStyle w:val="Standard2"/>
        <w:jc w:val="both"/>
        <w:rPr>
          <w:rFonts w:ascii="Calibri" w:hAnsi="Calibri" w:cs="Calibri"/>
          <w:sz w:val="24"/>
          <w:szCs w:val="24"/>
        </w:rPr>
      </w:pPr>
      <w:r w:rsidRPr="00173B85">
        <w:rPr>
          <w:rFonts w:ascii="Calibri" w:hAnsi="Calibri" w:cs="Calibri"/>
          <w:sz w:val="24"/>
          <w:szCs w:val="24"/>
        </w:rPr>
        <w:t>Neil Faulkner, c</w:t>
      </w:r>
      <w:r>
        <w:rPr>
          <w:rFonts w:ascii="Calibri" w:hAnsi="Calibri" w:cs="Calibri"/>
          <w:sz w:val="24"/>
          <w:szCs w:val="24"/>
        </w:rPr>
        <w:t xml:space="preserve">o-founder and managing director </w:t>
      </w:r>
      <w:r w:rsidRPr="00173B85">
        <w:rPr>
          <w:rFonts w:ascii="Calibri" w:hAnsi="Calibri" w:cs="Calibri"/>
          <w:sz w:val="24"/>
          <w:szCs w:val="24"/>
        </w:rPr>
        <w:t>of 4thWay®, comments:</w:t>
      </w:r>
    </w:p>
    <w:p w:rsidR="000A21A7" w:rsidRPr="00813055" w:rsidRDefault="000A21A7" w:rsidP="007E5073">
      <w:pPr>
        <w:pStyle w:val="Standard1"/>
        <w:jc w:val="both"/>
        <w:rPr>
          <w:rFonts w:asciiTheme="minorHAnsi" w:hAnsiTheme="minorHAnsi" w:cstheme="minorHAnsi"/>
        </w:rPr>
      </w:pPr>
    </w:p>
    <w:p w:rsidR="002B03B5" w:rsidRPr="00F91E8C" w:rsidRDefault="002B03B5" w:rsidP="007E5073">
      <w:pPr>
        <w:pStyle w:val="Standard1"/>
        <w:jc w:val="both"/>
        <w:rPr>
          <w:rFonts w:asciiTheme="minorHAnsi" w:hAnsiTheme="minorHAnsi" w:cstheme="minorHAnsi"/>
          <w:i/>
          <w:sz w:val="24"/>
          <w:szCs w:val="24"/>
        </w:rPr>
      </w:pPr>
      <w:r w:rsidRPr="00F91E8C">
        <w:rPr>
          <w:rFonts w:asciiTheme="minorHAnsi" w:hAnsiTheme="minorHAnsi" w:cstheme="minorHAnsi"/>
          <w:i/>
          <w:sz w:val="24"/>
          <w:szCs w:val="24"/>
        </w:rPr>
        <w:t>“Even the Bank of England recently admitted it can’t and won’t predict the next recession or crisis, but the cycle will come again.</w:t>
      </w:r>
    </w:p>
    <w:p w:rsidR="002B03B5" w:rsidRPr="00F91E8C" w:rsidRDefault="002B03B5" w:rsidP="007E5073">
      <w:pPr>
        <w:pStyle w:val="NoSpacing"/>
        <w:jc w:val="both"/>
      </w:pPr>
    </w:p>
    <w:p w:rsidR="002B03B5" w:rsidRPr="00F91E8C" w:rsidRDefault="002B03B5" w:rsidP="007E5073">
      <w:pPr>
        <w:pStyle w:val="Standard1"/>
        <w:jc w:val="both"/>
        <w:rPr>
          <w:rFonts w:asciiTheme="minorHAnsi" w:hAnsiTheme="minorHAnsi" w:cstheme="minorHAnsi"/>
          <w:i/>
          <w:sz w:val="24"/>
          <w:szCs w:val="24"/>
        </w:rPr>
      </w:pPr>
      <w:r w:rsidRPr="00F91E8C">
        <w:rPr>
          <w:rFonts w:asciiTheme="minorHAnsi" w:hAnsiTheme="minorHAnsi" w:cstheme="minorHAnsi"/>
          <w:i/>
          <w:sz w:val="24"/>
          <w:szCs w:val="24"/>
        </w:rPr>
        <w:t xml:space="preserve">"The risk in investing is that you lose some of your money in downturns, but while your returns will fall, I still expect most people lending through P2P to keep positive returns and </w:t>
      </w:r>
      <w:r w:rsidR="002A053F">
        <w:rPr>
          <w:rFonts w:asciiTheme="minorHAnsi" w:hAnsiTheme="minorHAnsi" w:cstheme="minorHAnsi"/>
          <w:i/>
          <w:sz w:val="24"/>
          <w:szCs w:val="24"/>
        </w:rPr>
        <w:t xml:space="preserve">do </w:t>
      </w:r>
      <w:r w:rsidRPr="00F91E8C">
        <w:rPr>
          <w:rFonts w:asciiTheme="minorHAnsi" w:hAnsiTheme="minorHAnsi" w:cstheme="minorHAnsi"/>
          <w:i/>
          <w:sz w:val="24"/>
          <w:szCs w:val="24"/>
        </w:rPr>
        <w:t>markedly better than savings accounts and cash ISAs.</w:t>
      </w:r>
    </w:p>
    <w:p w:rsidR="002B03B5" w:rsidRPr="002A053F" w:rsidRDefault="002B03B5" w:rsidP="007E5073">
      <w:pPr>
        <w:pStyle w:val="NoSpacing"/>
        <w:jc w:val="both"/>
        <w:rPr>
          <w:lang w:val="en-US"/>
        </w:rPr>
      </w:pPr>
    </w:p>
    <w:p w:rsidR="002B03B5" w:rsidRPr="00F91E8C" w:rsidRDefault="002B03B5" w:rsidP="007E5073">
      <w:pPr>
        <w:pStyle w:val="Standard1"/>
        <w:jc w:val="both"/>
        <w:rPr>
          <w:rFonts w:asciiTheme="minorHAnsi" w:hAnsiTheme="minorHAnsi" w:cstheme="minorHAnsi"/>
          <w:i/>
          <w:sz w:val="24"/>
          <w:szCs w:val="24"/>
        </w:rPr>
      </w:pPr>
      <w:r w:rsidRPr="00F91E8C">
        <w:rPr>
          <w:rFonts w:asciiTheme="minorHAnsi" w:hAnsiTheme="minorHAnsi" w:cstheme="minorHAnsi"/>
          <w:i/>
          <w:sz w:val="24"/>
          <w:szCs w:val="24"/>
        </w:rPr>
        <w:t xml:space="preserve">“Still, the risks vary considerably between the available IFISA opportunities, due to varying amounts of relevant banking experience, </w:t>
      </w:r>
      <w:r w:rsidR="002A053F">
        <w:rPr>
          <w:rFonts w:asciiTheme="minorHAnsi" w:hAnsiTheme="minorHAnsi" w:cstheme="minorHAnsi"/>
          <w:i/>
          <w:sz w:val="24"/>
          <w:szCs w:val="24"/>
        </w:rPr>
        <w:t>different</w:t>
      </w:r>
      <w:r w:rsidR="002A053F" w:rsidRPr="00F91E8C">
        <w:rPr>
          <w:rFonts w:asciiTheme="minorHAnsi" w:hAnsiTheme="minorHAnsi" w:cstheme="minorHAnsi"/>
          <w:i/>
          <w:sz w:val="24"/>
          <w:szCs w:val="24"/>
        </w:rPr>
        <w:t xml:space="preserve"> </w:t>
      </w:r>
      <w:r w:rsidRPr="00F91E8C">
        <w:rPr>
          <w:rFonts w:asciiTheme="minorHAnsi" w:hAnsiTheme="minorHAnsi" w:cstheme="minorHAnsi"/>
          <w:i/>
          <w:sz w:val="24"/>
          <w:szCs w:val="24"/>
        </w:rPr>
        <w:t>security, differing histories upon which to assess their abilities, and the underlying risks in each type of lending on offer.</w:t>
      </w:r>
    </w:p>
    <w:p w:rsidR="002B03B5" w:rsidRPr="00F91E8C" w:rsidRDefault="002B03B5" w:rsidP="007E5073">
      <w:pPr>
        <w:pStyle w:val="NoSpacing"/>
        <w:jc w:val="both"/>
      </w:pPr>
    </w:p>
    <w:p w:rsidR="002B03B5" w:rsidRPr="00F91E8C" w:rsidRDefault="002B03B5" w:rsidP="007C60F0">
      <w:pPr>
        <w:pStyle w:val="Standard1"/>
        <w:jc w:val="both"/>
        <w:rPr>
          <w:rFonts w:asciiTheme="minorHAnsi" w:hAnsiTheme="minorHAnsi" w:cstheme="minorHAnsi"/>
          <w:i/>
          <w:sz w:val="24"/>
          <w:szCs w:val="24"/>
        </w:rPr>
      </w:pPr>
      <w:r w:rsidRPr="00F91E8C">
        <w:rPr>
          <w:rFonts w:asciiTheme="minorHAnsi" w:hAnsiTheme="minorHAnsi" w:cstheme="minorHAnsi"/>
          <w:i/>
          <w:sz w:val="24"/>
          <w:szCs w:val="24"/>
        </w:rPr>
        <w:lastRenderedPageBreak/>
        <w:t>“Lenders should continue to spread their risks a</w:t>
      </w:r>
      <w:r w:rsidR="007C60F0">
        <w:rPr>
          <w:rFonts w:asciiTheme="minorHAnsi" w:hAnsiTheme="minorHAnsi" w:cstheme="minorHAnsi"/>
          <w:i/>
          <w:sz w:val="24"/>
          <w:szCs w:val="24"/>
        </w:rPr>
        <w:t>cross lots of P2P lending sites -</w:t>
      </w:r>
      <w:r w:rsidR="00BF444B">
        <w:rPr>
          <w:rFonts w:asciiTheme="minorHAnsi" w:hAnsiTheme="minorHAnsi" w:cstheme="minorHAnsi"/>
          <w:i/>
          <w:sz w:val="24"/>
          <w:szCs w:val="24"/>
        </w:rPr>
        <w:t xml:space="preserve"> not just put all their eggs in</w:t>
      </w:r>
      <w:r w:rsidRPr="00F91E8C">
        <w:rPr>
          <w:rFonts w:asciiTheme="minorHAnsi" w:hAnsiTheme="minorHAnsi" w:cstheme="minorHAnsi"/>
          <w:i/>
          <w:sz w:val="24"/>
          <w:szCs w:val="24"/>
        </w:rPr>
        <w:t xml:space="preserve"> one IFISA, with a focus on the lowest risk kinds of lending. This could include lending that is property-backed and receiving rent, such as Landbay’s buy-to-let loans, or to wealthy individuals with abundant property to use as security, such as HNW Lending.</w:t>
      </w:r>
      <w:r w:rsidR="007C60F0">
        <w:rPr>
          <w:rFonts w:asciiTheme="minorHAnsi" w:hAnsiTheme="minorHAnsi" w:cstheme="minorHAnsi"/>
          <w:i/>
          <w:sz w:val="24"/>
          <w:szCs w:val="24"/>
        </w:rPr>
        <w:t>”</w:t>
      </w:r>
    </w:p>
    <w:p w:rsidR="002B03B5" w:rsidRPr="007E5073" w:rsidRDefault="002B03B5" w:rsidP="002B03B5">
      <w:pPr>
        <w:pStyle w:val="Standard1"/>
        <w:rPr>
          <w:rFonts w:asciiTheme="minorHAnsi" w:hAnsiTheme="minorHAnsi" w:cstheme="minorHAnsi"/>
          <w:sz w:val="16"/>
          <w:szCs w:val="16"/>
        </w:rPr>
      </w:pPr>
    </w:p>
    <w:p w:rsidR="002B03B5" w:rsidRPr="00BF444B" w:rsidRDefault="002B03B5" w:rsidP="00BF444B">
      <w:pPr>
        <w:pStyle w:val="Standard1"/>
        <w:jc w:val="both"/>
        <w:rPr>
          <w:rFonts w:asciiTheme="minorHAnsi" w:hAnsiTheme="minorHAnsi" w:cstheme="minorHAnsi"/>
          <w:sz w:val="24"/>
          <w:szCs w:val="24"/>
        </w:rPr>
      </w:pPr>
      <w:r w:rsidRPr="00BF444B">
        <w:rPr>
          <w:rFonts w:asciiTheme="minorHAnsi" w:hAnsiTheme="minorHAnsi" w:cstheme="minorHAnsi"/>
          <w:b/>
          <w:sz w:val="24"/>
          <w:szCs w:val="24"/>
        </w:rPr>
        <w:t>Big IFISA players still to come</w:t>
      </w:r>
    </w:p>
    <w:p w:rsidR="00BF444B" w:rsidRPr="007E5073" w:rsidRDefault="00BF444B" w:rsidP="00BF444B">
      <w:pPr>
        <w:pStyle w:val="NoSpacing"/>
        <w:rPr>
          <w:sz w:val="16"/>
          <w:szCs w:val="16"/>
        </w:rPr>
      </w:pPr>
    </w:p>
    <w:p w:rsidR="002B03B5" w:rsidRPr="00BF444B" w:rsidRDefault="002B03B5" w:rsidP="00BF444B">
      <w:pPr>
        <w:pStyle w:val="Standard1"/>
        <w:jc w:val="both"/>
        <w:rPr>
          <w:rFonts w:asciiTheme="minorHAnsi" w:hAnsiTheme="minorHAnsi" w:cstheme="minorHAnsi"/>
          <w:sz w:val="24"/>
          <w:szCs w:val="24"/>
        </w:rPr>
      </w:pPr>
      <w:r w:rsidRPr="00BF444B">
        <w:rPr>
          <w:rFonts w:asciiTheme="minorHAnsi" w:hAnsiTheme="minorHAnsi" w:cstheme="minorHAnsi"/>
          <w:sz w:val="24"/>
          <w:szCs w:val="24"/>
        </w:rPr>
        <w:t>The larger platforms include Zopa, RateSetter, Funding Circle, MarketInvoice, Assetz Capital and Wellesley &amp; Co. None of these have launched their IFISAs as they wait for the required regulatory approval.</w:t>
      </w:r>
    </w:p>
    <w:p w:rsidR="002B03B5" w:rsidRPr="007E5073" w:rsidRDefault="002B03B5" w:rsidP="00BF444B">
      <w:pPr>
        <w:pStyle w:val="NoSpacing"/>
        <w:rPr>
          <w:sz w:val="16"/>
          <w:szCs w:val="16"/>
        </w:rPr>
      </w:pPr>
    </w:p>
    <w:p w:rsidR="002B03B5" w:rsidRPr="007E5073" w:rsidRDefault="00BF444B" w:rsidP="00BF444B">
      <w:pPr>
        <w:pStyle w:val="Standard1"/>
        <w:jc w:val="both"/>
        <w:rPr>
          <w:rFonts w:asciiTheme="minorHAnsi" w:hAnsiTheme="minorHAnsi" w:cstheme="minorHAnsi"/>
          <w:sz w:val="24"/>
          <w:szCs w:val="24"/>
        </w:rPr>
      </w:pPr>
      <w:r>
        <w:rPr>
          <w:rFonts w:asciiTheme="minorHAnsi" w:hAnsiTheme="minorHAnsi" w:cstheme="minorHAnsi"/>
          <w:sz w:val="24"/>
          <w:szCs w:val="24"/>
        </w:rPr>
        <w:t>Neil Faulkner adds</w:t>
      </w:r>
      <w:r w:rsidR="002B03B5" w:rsidRPr="00BF444B">
        <w:rPr>
          <w:rFonts w:asciiTheme="minorHAnsi" w:hAnsiTheme="minorHAnsi" w:cstheme="minorHAnsi"/>
          <w:sz w:val="24"/>
          <w:szCs w:val="24"/>
        </w:rPr>
        <w:t>:</w:t>
      </w:r>
      <w:r w:rsidR="007E5073">
        <w:rPr>
          <w:rFonts w:asciiTheme="minorHAnsi" w:hAnsiTheme="minorHAnsi" w:cstheme="minorHAnsi"/>
          <w:sz w:val="24"/>
          <w:szCs w:val="24"/>
        </w:rPr>
        <w:t xml:space="preserve"> </w:t>
      </w:r>
      <w:r w:rsidR="002B03B5" w:rsidRPr="00BF444B">
        <w:rPr>
          <w:rFonts w:asciiTheme="minorHAnsi" w:hAnsiTheme="minorHAnsi" w:cstheme="minorHAnsi"/>
          <w:i/>
          <w:sz w:val="24"/>
          <w:szCs w:val="24"/>
        </w:rPr>
        <w:t>“While we are still waiting for one of the really large P2P lending sites to get the approval to launch their IFISA, my money is on Assetz Capital being the first to get its IFISA status early in the new tax year. Assetz Capital is a rarity in secured business lending in that it actually takes the trouble to value business assets that it can repossess and sell, and that’s why it has a fantastic record so far in recovering bad debts.”</w:t>
      </w:r>
    </w:p>
    <w:p w:rsidR="002B03B5" w:rsidRPr="00813055" w:rsidRDefault="002B03B5" w:rsidP="002B03B5">
      <w:pPr>
        <w:shd w:val="clear" w:color="auto" w:fill="FFFFFF"/>
        <w:spacing w:after="0" w:line="100" w:lineRule="atLeast"/>
        <w:rPr>
          <w:rFonts w:asciiTheme="minorHAnsi" w:eastAsia="Times New Roman" w:hAnsiTheme="minorHAnsi" w:cstheme="minorHAnsi"/>
          <w:b/>
          <w:color w:val="2B2A29"/>
          <w:sz w:val="24"/>
          <w:szCs w:val="24"/>
        </w:rPr>
      </w:pPr>
    </w:p>
    <w:p w:rsidR="006C616A" w:rsidRPr="00813055" w:rsidRDefault="006C616A">
      <w:pPr>
        <w:shd w:val="clear" w:color="auto" w:fill="FFFFFF"/>
        <w:spacing w:after="0" w:line="100" w:lineRule="atLeast"/>
        <w:jc w:val="center"/>
        <w:rPr>
          <w:rFonts w:asciiTheme="minorHAnsi" w:eastAsia="Times New Roman" w:hAnsiTheme="minorHAnsi" w:cstheme="minorHAnsi"/>
          <w:color w:val="2B2A29"/>
          <w:sz w:val="20"/>
          <w:szCs w:val="20"/>
        </w:rPr>
      </w:pPr>
      <w:r w:rsidRPr="00813055">
        <w:rPr>
          <w:rFonts w:asciiTheme="minorHAnsi" w:eastAsia="Times New Roman" w:hAnsiTheme="minorHAnsi" w:cstheme="minorHAnsi"/>
          <w:b/>
          <w:color w:val="2B2A29"/>
          <w:sz w:val="24"/>
          <w:szCs w:val="24"/>
        </w:rPr>
        <w:t>-ENDS-</w:t>
      </w:r>
    </w:p>
    <w:p w:rsidR="006C616A" w:rsidRPr="00813055" w:rsidRDefault="006C616A">
      <w:pPr>
        <w:shd w:val="clear" w:color="auto" w:fill="FFFFFF"/>
        <w:spacing w:after="0" w:line="100" w:lineRule="atLeast"/>
        <w:jc w:val="both"/>
        <w:rPr>
          <w:rFonts w:asciiTheme="minorHAnsi" w:eastAsia="Times New Roman" w:hAnsiTheme="minorHAnsi" w:cstheme="minorHAnsi"/>
          <w:b/>
          <w:iCs/>
          <w:color w:val="2B2A29"/>
          <w:sz w:val="24"/>
          <w:szCs w:val="24"/>
        </w:rPr>
      </w:pPr>
      <w:r w:rsidRPr="00813055">
        <w:rPr>
          <w:rFonts w:asciiTheme="minorHAnsi" w:eastAsia="Times New Roman" w:hAnsiTheme="minorHAnsi" w:cstheme="minorHAnsi"/>
          <w:color w:val="2B2A29"/>
          <w:sz w:val="20"/>
          <w:szCs w:val="20"/>
        </w:rPr>
        <w:t> </w:t>
      </w:r>
    </w:p>
    <w:p w:rsidR="00A86FC3" w:rsidRPr="00A86FC3" w:rsidRDefault="006C616A" w:rsidP="00A86FC3">
      <w:pPr>
        <w:shd w:val="clear" w:color="auto" w:fill="FFFFFF"/>
        <w:spacing w:after="0" w:line="360" w:lineRule="auto"/>
        <w:jc w:val="both"/>
        <w:rPr>
          <w:rFonts w:asciiTheme="minorHAnsi" w:eastAsia="Times New Roman" w:hAnsiTheme="minorHAnsi" w:cstheme="minorHAnsi"/>
          <w:b/>
          <w:iCs/>
          <w:color w:val="2B2A29"/>
          <w:sz w:val="24"/>
          <w:szCs w:val="24"/>
        </w:rPr>
      </w:pPr>
      <w:r w:rsidRPr="00813055">
        <w:rPr>
          <w:rFonts w:asciiTheme="minorHAnsi" w:eastAsia="Times New Roman" w:hAnsiTheme="minorHAnsi" w:cstheme="minorHAnsi"/>
          <w:b/>
          <w:iCs/>
          <w:color w:val="2B2A29"/>
          <w:sz w:val="24"/>
          <w:szCs w:val="24"/>
        </w:rPr>
        <w:t>NOTES TO EDITORS</w:t>
      </w:r>
    </w:p>
    <w:p w:rsidR="002B03B5" w:rsidRPr="002B4CB6" w:rsidRDefault="002B03B5" w:rsidP="002B4CB6">
      <w:pPr>
        <w:pStyle w:val="Standard1"/>
        <w:numPr>
          <w:ilvl w:val="0"/>
          <w:numId w:val="13"/>
        </w:numPr>
        <w:jc w:val="both"/>
        <w:rPr>
          <w:rFonts w:asciiTheme="minorHAnsi" w:hAnsiTheme="minorHAnsi" w:cstheme="minorHAnsi"/>
        </w:rPr>
      </w:pPr>
      <w:r w:rsidRPr="002B4CB6">
        <w:rPr>
          <w:rFonts w:asciiTheme="minorHAnsi" w:hAnsiTheme="minorHAnsi" w:cstheme="minorHAnsi"/>
        </w:rPr>
        <w:t>The eight IFISAs now open for lending</w:t>
      </w:r>
    </w:p>
    <w:p w:rsidR="002B03B5" w:rsidRPr="00813055" w:rsidRDefault="002B03B5" w:rsidP="002B03B5">
      <w:pPr>
        <w:pStyle w:val="Standard1"/>
        <w:rPr>
          <w:rFonts w:asciiTheme="minorHAnsi" w:hAnsiTheme="minorHAnsi" w:cstheme="min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6"/>
        <w:gridCol w:w="2850"/>
        <w:gridCol w:w="1050"/>
        <w:gridCol w:w="1882"/>
        <w:gridCol w:w="1882"/>
      </w:tblGrid>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b/>
              </w:rPr>
              <w:t>Platform</w:t>
            </w:r>
          </w:p>
        </w:tc>
        <w:tc>
          <w:tcPr>
            <w:tcW w:w="2850" w:type="dxa"/>
            <w:tcMar>
              <w:top w:w="100" w:type="dxa"/>
              <w:left w:w="100" w:type="dxa"/>
              <w:bottom w:w="100" w:type="dxa"/>
              <w:right w:w="100" w:type="dxa"/>
            </w:tcMar>
          </w:tcPr>
          <w:p w:rsidR="002B03B5" w:rsidRPr="00813055" w:rsidRDefault="002B03B5" w:rsidP="002A053F">
            <w:pPr>
              <w:pStyle w:val="Standard1"/>
              <w:widowControl w:val="0"/>
              <w:spacing w:line="240" w:lineRule="auto"/>
              <w:rPr>
                <w:rFonts w:asciiTheme="minorHAnsi" w:hAnsiTheme="minorHAnsi" w:cstheme="minorHAnsi"/>
              </w:rPr>
            </w:pPr>
            <w:r w:rsidRPr="00813055">
              <w:rPr>
                <w:rFonts w:asciiTheme="minorHAnsi" w:hAnsiTheme="minorHAnsi" w:cstheme="minorHAnsi"/>
                <w:b/>
              </w:rPr>
              <w:t>Description</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b/>
              </w:rPr>
              <w:t>Interest rates</w:t>
            </w:r>
          </w:p>
        </w:tc>
        <w:tc>
          <w:tcPr>
            <w:tcW w:w="1882" w:type="dxa"/>
            <w:tcMar>
              <w:top w:w="100" w:type="dxa"/>
              <w:left w:w="100" w:type="dxa"/>
              <w:bottom w:w="100" w:type="dxa"/>
              <w:right w:w="100" w:type="dxa"/>
            </w:tcMar>
          </w:tcPr>
          <w:p w:rsidR="002B03B5" w:rsidRPr="00813055" w:rsidRDefault="002B03B5" w:rsidP="0026724F">
            <w:pPr>
              <w:pStyle w:val="Standard1"/>
              <w:widowControl w:val="0"/>
              <w:spacing w:line="240" w:lineRule="auto"/>
              <w:rPr>
                <w:rFonts w:asciiTheme="minorHAnsi" w:hAnsiTheme="minorHAnsi" w:cstheme="minorHAnsi"/>
              </w:rPr>
            </w:pPr>
            <w:r w:rsidRPr="00813055">
              <w:rPr>
                <w:rFonts w:asciiTheme="minorHAnsi" w:hAnsiTheme="minorHAnsi" w:cstheme="minorHAnsi"/>
                <w:b/>
              </w:rPr>
              <w:t>4thWay PLUS Rating</w:t>
            </w:r>
            <w:r w:rsidR="0026724F">
              <w:rPr>
                <w:rFonts w:asciiTheme="minorHAnsi" w:hAnsiTheme="minorHAnsi" w:cstheme="minorHAnsi"/>
                <w:b/>
              </w:rPr>
              <w:t xml:space="preserve"> </w:t>
            </w:r>
            <w:r w:rsidR="0026724F" w:rsidRPr="0026724F">
              <w:rPr>
                <w:rFonts w:asciiTheme="minorHAnsi" w:hAnsiTheme="minorHAnsi" w:cstheme="minorHAnsi"/>
                <w:b/>
                <w:sz w:val="24"/>
                <w:szCs w:val="24"/>
                <w:vertAlign w:val="superscript"/>
              </w:rPr>
              <w:t>(3)</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b/>
              </w:rPr>
              <w:t>Lender losses; bad debts*</w:t>
            </w:r>
          </w:p>
        </w:tc>
      </w:tr>
      <w:tr w:rsidR="002B03B5" w:rsidRPr="00813055" w:rsidTr="00B071EE">
        <w:tc>
          <w:tcPr>
            <w:tcW w:w="1695" w:type="dxa"/>
            <w:tcMar>
              <w:top w:w="100" w:type="dxa"/>
              <w:left w:w="100" w:type="dxa"/>
              <w:bottom w:w="100" w:type="dxa"/>
              <w:right w:w="100" w:type="dxa"/>
            </w:tcMar>
          </w:tcPr>
          <w:p w:rsidR="002B03B5" w:rsidRPr="006C26C8" w:rsidRDefault="00F76F6E" w:rsidP="00F76F6E">
            <w:pPr>
              <w:pStyle w:val="Standard1"/>
              <w:widowControl w:val="0"/>
              <w:spacing w:line="240" w:lineRule="auto"/>
              <w:rPr>
                <w:rFonts w:asciiTheme="minorHAnsi" w:hAnsiTheme="minorHAnsi" w:cstheme="minorHAnsi"/>
                <w:color w:val="auto"/>
              </w:rPr>
            </w:pPr>
            <w:r w:rsidRPr="006C26C8">
              <w:rPr>
                <w:rFonts w:asciiTheme="minorHAnsi" w:hAnsiTheme="minorHAnsi" w:cstheme="minorHAnsi"/>
                <w:color w:val="auto"/>
              </w:rPr>
              <w:t>HNW Lending</w:t>
            </w:r>
          </w:p>
        </w:tc>
        <w:tc>
          <w:tcPr>
            <w:tcW w:w="2850" w:type="dxa"/>
            <w:tcMar>
              <w:top w:w="100" w:type="dxa"/>
              <w:left w:w="100" w:type="dxa"/>
              <w:bottom w:w="100" w:type="dxa"/>
              <w:right w:w="100" w:type="dxa"/>
            </w:tcMar>
          </w:tcPr>
          <w:p w:rsidR="002B03B5" w:rsidRPr="00813055" w:rsidRDefault="002B03B5" w:rsidP="00B071EE">
            <w:pPr>
              <w:pStyle w:val="Standard1"/>
              <w:rPr>
                <w:rFonts w:asciiTheme="minorHAnsi" w:hAnsiTheme="minorHAnsi" w:cstheme="minorHAnsi"/>
              </w:rPr>
            </w:pPr>
            <w:r w:rsidRPr="00813055">
              <w:rPr>
                <w:rFonts w:asciiTheme="minorHAnsi" w:hAnsiTheme="minorHAnsi" w:cstheme="minorHAnsi"/>
              </w:rPr>
              <w:t>Property &amp; asset loans to wealthy borrowers</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6%-11%</w:t>
            </w:r>
          </w:p>
        </w:tc>
        <w:tc>
          <w:tcPr>
            <w:tcW w:w="1882" w:type="dxa"/>
            <w:tcMar>
              <w:top w:w="100" w:type="dxa"/>
              <w:left w:w="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noProof/>
              </w:rPr>
              <w:drawing>
                <wp:inline distT="0" distB="0" distL="0" distR="0">
                  <wp:extent cx="1181100" cy="438150"/>
                  <wp:effectExtent l="0" t="0" r="0" b="0"/>
                  <wp:docPr id="3" name="Grafik 1" descr="D:\Downloads\5 PL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5 PLUSe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losses; few bad debts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Landbay</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Property: mortgages to BTL landlords with a reserve fund</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3.75%</w:t>
            </w:r>
          </w:p>
        </w:tc>
        <w:tc>
          <w:tcPr>
            <w:tcW w:w="1882" w:type="dxa"/>
            <w:tcMar>
              <w:top w:w="100" w:type="dxa"/>
              <w:left w:w="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noProof/>
              </w:rPr>
              <w:drawing>
                <wp:inline distT="0" distB="0" distL="0" distR="0">
                  <wp:extent cx="1181100" cy="438150"/>
                  <wp:effectExtent l="0" t="0" r="0" b="0"/>
                  <wp:docPr id="4" name="Grafik 2" descr="D:\Downloads\5 PL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5 PLUSe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losses; no bad debts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Lending Works</w:t>
            </w:r>
          </w:p>
        </w:tc>
        <w:tc>
          <w:tcPr>
            <w:tcW w:w="2850" w:type="dxa"/>
            <w:tcMar>
              <w:top w:w="100" w:type="dxa"/>
              <w:left w:w="100" w:type="dxa"/>
              <w:bottom w:w="100" w:type="dxa"/>
              <w:right w:w="100" w:type="dxa"/>
            </w:tcMar>
          </w:tcPr>
          <w:p w:rsidR="002B03B5" w:rsidRPr="00813055" w:rsidRDefault="002B03B5" w:rsidP="00B071EE">
            <w:pPr>
              <w:pStyle w:val="Standard1"/>
              <w:rPr>
                <w:rFonts w:asciiTheme="minorHAnsi" w:hAnsiTheme="minorHAnsi" w:cstheme="minorHAnsi"/>
              </w:rPr>
            </w:pPr>
            <w:r w:rsidRPr="00813055">
              <w:rPr>
                <w:rFonts w:asciiTheme="minorHAnsi" w:hAnsiTheme="minorHAnsi" w:cstheme="minorHAnsi"/>
              </w:rPr>
              <w:t>Prime personal loans, backed by a large reserve fund &amp; insurance</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4.5%</w:t>
            </w:r>
          </w:p>
        </w:tc>
        <w:tc>
          <w:tcPr>
            <w:tcW w:w="1882" w:type="dxa"/>
            <w:tcMar>
              <w:top w:w="100" w:type="dxa"/>
              <w:left w:w="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noProof/>
              </w:rPr>
              <w:drawing>
                <wp:inline distT="0" distB="0" distL="0" distR="0">
                  <wp:extent cx="1181100" cy="438150"/>
                  <wp:effectExtent l="0" t="0" r="0" b="0"/>
                  <wp:docPr id="5" name="Grafik 3" descr="D:\Downloads\5 PL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5 PLUSe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losses; very low bad debts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LandlordInvest</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Property: mortgages and short-term (bridging) loans to BTL landlords</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5%-12%</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rating due to short history</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known losses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Abundance</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Loans to renewable energy businesses, secured against their infrastructure</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5%-12%</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rating due to lack of data</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known losses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Crowd2Fund</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Loans to small businesses</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8.7%</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rating due to short hist</w:t>
            </w:r>
            <w:bookmarkStart w:id="0" w:name="_GoBack"/>
            <w:bookmarkEnd w:id="0"/>
            <w:r w:rsidRPr="00813055">
              <w:rPr>
                <w:rFonts w:asciiTheme="minorHAnsi" w:hAnsiTheme="minorHAnsi" w:cstheme="minorHAnsi"/>
              </w:rPr>
              <w:t>ory</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losses; very low bad debts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Crowdstacker</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Loans to small businesses</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5.4%-7%</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rating due to short history</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losses; no bad debts</w:t>
            </w:r>
          </w:p>
        </w:tc>
      </w:tr>
      <w:tr w:rsidR="002B03B5" w:rsidRPr="00813055" w:rsidTr="00B071EE">
        <w:tc>
          <w:tcPr>
            <w:tcW w:w="1695"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LendingCrowd</w:t>
            </w:r>
          </w:p>
        </w:tc>
        <w:tc>
          <w:tcPr>
            <w:tcW w:w="28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Loans to small businesses</w:t>
            </w:r>
          </w:p>
        </w:tc>
        <w:tc>
          <w:tcPr>
            <w:tcW w:w="1050"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6%</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No rating due to short history</w:t>
            </w:r>
          </w:p>
        </w:tc>
        <w:tc>
          <w:tcPr>
            <w:tcW w:w="1882" w:type="dxa"/>
            <w:tcMar>
              <w:top w:w="100" w:type="dxa"/>
              <w:left w:w="100" w:type="dxa"/>
              <w:bottom w:w="100" w:type="dxa"/>
              <w:right w:w="100" w:type="dxa"/>
            </w:tcMar>
          </w:tcPr>
          <w:p w:rsidR="002B03B5" w:rsidRPr="00813055" w:rsidRDefault="002B03B5" w:rsidP="00B071EE">
            <w:pPr>
              <w:pStyle w:val="Standard1"/>
              <w:widowControl w:val="0"/>
              <w:spacing w:line="240" w:lineRule="auto"/>
              <w:rPr>
                <w:rFonts w:asciiTheme="minorHAnsi" w:hAnsiTheme="minorHAnsi" w:cstheme="minorHAnsi"/>
              </w:rPr>
            </w:pPr>
            <w:r w:rsidRPr="00813055">
              <w:rPr>
                <w:rFonts w:asciiTheme="minorHAnsi" w:hAnsiTheme="minorHAnsi" w:cstheme="minorHAnsi"/>
              </w:rPr>
              <w:t>Bad debts covered by interest earned</w:t>
            </w:r>
          </w:p>
        </w:tc>
      </w:tr>
    </w:tbl>
    <w:p w:rsidR="007C60F0" w:rsidRDefault="007C60F0" w:rsidP="002B03B5">
      <w:pPr>
        <w:pStyle w:val="Standard1"/>
        <w:rPr>
          <w:rFonts w:asciiTheme="minorHAnsi" w:hAnsiTheme="minorHAnsi" w:cstheme="minorHAnsi"/>
          <w:i/>
        </w:rPr>
      </w:pPr>
    </w:p>
    <w:p w:rsidR="002B03B5" w:rsidRDefault="002B03B5" w:rsidP="002B03B5">
      <w:pPr>
        <w:pStyle w:val="Standard1"/>
        <w:rPr>
          <w:rFonts w:asciiTheme="minorHAnsi" w:hAnsiTheme="minorHAnsi" w:cstheme="minorHAnsi"/>
          <w:i/>
        </w:rPr>
      </w:pPr>
      <w:r w:rsidRPr="00813055">
        <w:rPr>
          <w:rFonts w:asciiTheme="minorHAnsi" w:hAnsiTheme="minorHAnsi" w:cstheme="minorHAnsi"/>
          <w:i/>
        </w:rPr>
        <w:lastRenderedPageBreak/>
        <w:t>*Past performance doesn’t equal future performance. What it can do is tell us is whether the platforms are performing well compared to similar competitors; give</w:t>
      </w:r>
      <w:r w:rsidR="00A86FC3">
        <w:rPr>
          <w:rFonts w:asciiTheme="minorHAnsi" w:hAnsiTheme="minorHAnsi" w:cstheme="minorHAnsi"/>
          <w:i/>
        </w:rPr>
        <w:t xml:space="preserve">s </w:t>
      </w:r>
      <w:r w:rsidRPr="00813055">
        <w:rPr>
          <w:rFonts w:asciiTheme="minorHAnsi" w:hAnsiTheme="minorHAnsi" w:cstheme="minorHAnsi"/>
          <w:i/>
        </w:rPr>
        <w:t xml:space="preserve">us clues as to whether the platforms are being disciplined </w:t>
      </w:r>
      <w:r w:rsidR="00A86FC3">
        <w:rPr>
          <w:rFonts w:asciiTheme="minorHAnsi" w:hAnsiTheme="minorHAnsi" w:cstheme="minorHAnsi"/>
          <w:i/>
        </w:rPr>
        <w:t>in selecting borrowers, and provides</w:t>
      </w:r>
      <w:r w:rsidRPr="00813055">
        <w:rPr>
          <w:rFonts w:asciiTheme="minorHAnsi" w:hAnsiTheme="minorHAnsi" w:cstheme="minorHAnsi"/>
          <w:i/>
        </w:rPr>
        <w:t xml:space="preserve"> extra evidence that the people behind the platform possess the skills and experience they profess to have from previous roles in banking and lending.</w:t>
      </w:r>
    </w:p>
    <w:p w:rsidR="00A86FC3" w:rsidRDefault="00A86FC3" w:rsidP="002B03B5">
      <w:pPr>
        <w:pStyle w:val="Standard1"/>
        <w:rPr>
          <w:rFonts w:asciiTheme="minorHAnsi" w:hAnsiTheme="minorHAnsi" w:cstheme="minorHAnsi"/>
          <w:i/>
        </w:rPr>
      </w:pPr>
    </w:p>
    <w:p w:rsidR="00A86FC3" w:rsidRDefault="00A86FC3" w:rsidP="00A86FC3">
      <w:pPr>
        <w:pStyle w:val="Standard1"/>
        <w:numPr>
          <w:ilvl w:val="0"/>
          <w:numId w:val="13"/>
        </w:numPr>
        <w:jc w:val="both"/>
        <w:rPr>
          <w:rFonts w:asciiTheme="minorHAnsi" w:hAnsiTheme="minorHAnsi" w:cstheme="minorHAnsi"/>
        </w:rPr>
      </w:pPr>
      <w:r w:rsidRPr="002B4CB6">
        <w:rPr>
          <w:rFonts w:asciiTheme="minorHAnsi" w:hAnsiTheme="minorHAnsi" w:cstheme="minorHAnsi"/>
        </w:rPr>
        <w:t>Currently the best cash ISA pays 1.75%, the Paragon Bank 5 Year Fixed Rate Cash ISA, according to Moneysupermarket</w:t>
      </w:r>
      <w:r>
        <w:rPr>
          <w:rFonts w:asciiTheme="minorHAnsi" w:hAnsiTheme="minorHAnsi" w:cstheme="minorHAnsi"/>
        </w:rPr>
        <w:t xml:space="preserve"> on </w:t>
      </w:r>
      <w:r w:rsidR="00F76F6E">
        <w:rPr>
          <w:rFonts w:asciiTheme="minorHAnsi" w:hAnsiTheme="minorHAnsi" w:cstheme="minorHAnsi"/>
        </w:rPr>
        <w:t>3 March 2017</w:t>
      </w:r>
      <w:r w:rsidRPr="002B4CB6">
        <w:rPr>
          <w:rFonts w:asciiTheme="minorHAnsi" w:hAnsiTheme="minorHAnsi" w:cstheme="minorHAnsi"/>
        </w:rPr>
        <w:t>. Atom Bank 5 Year Fixed Saver is the top-paying savings account. At 2.4%, that is 1.92% after basic-rate tax.</w:t>
      </w:r>
    </w:p>
    <w:p w:rsidR="00A86FC3" w:rsidRDefault="00A86FC3" w:rsidP="00A86FC3">
      <w:pPr>
        <w:pStyle w:val="Standard1"/>
        <w:ind w:left="360"/>
        <w:jc w:val="both"/>
        <w:rPr>
          <w:rFonts w:asciiTheme="minorHAnsi" w:hAnsiTheme="minorHAnsi" w:cstheme="minorHAnsi"/>
        </w:rPr>
      </w:pPr>
    </w:p>
    <w:p w:rsidR="00A86FC3" w:rsidRPr="002B4CB6" w:rsidRDefault="00A86FC3" w:rsidP="00A86FC3">
      <w:pPr>
        <w:pStyle w:val="Standard1"/>
        <w:numPr>
          <w:ilvl w:val="0"/>
          <w:numId w:val="13"/>
        </w:numPr>
        <w:jc w:val="both"/>
        <w:rPr>
          <w:rFonts w:asciiTheme="minorHAnsi" w:hAnsiTheme="minorHAnsi" w:cstheme="minorHAnsi"/>
        </w:rPr>
      </w:pPr>
      <w:r w:rsidRPr="002B4CB6">
        <w:rPr>
          <w:rFonts w:asciiTheme="minorHAnsi" w:hAnsiTheme="minorHAnsi" w:cstheme="minorHAnsi"/>
        </w:rPr>
        <w:t xml:space="preserve">The 4thWay PLUS Ratings are based on an internationally </w:t>
      </w:r>
      <w:r w:rsidRPr="002B4CB6">
        <w:rPr>
          <w:rFonts w:asciiTheme="minorHAnsi" w:hAnsiTheme="minorHAnsi" w:cstheme="minorHAnsi"/>
          <w:lang w:val="en-GB"/>
        </w:rPr>
        <w:t>recognised</w:t>
      </w:r>
      <w:r w:rsidRPr="002B4CB6">
        <w:rPr>
          <w:rFonts w:asciiTheme="minorHAnsi" w:hAnsiTheme="minorHAnsi" w:cstheme="minorHAnsi"/>
        </w:rPr>
        <w:t xml:space="preserve"> methodology. They reflect both the risk of losses from bad debts and the interest that you earn.</w:t>
      </w:r>
    </w:p>
    <w:p w:rsidR="00A86FC3" w:rsidRPr="002B4CB6" w:rsidRDefault="00A86FC3" w:rsidP="00A86FC3">
      <w:pPr>
        <w:pStyle w:val="NoSpacing"/>
        <w:rPr>
          <w:sz w:val="16"/>
          <w:szCs w:val="16"/>
        </w:rPr>
      </w:pPr>
    </w:p>
    <w:p w:rsidR="00A86FC3" w:rsidRDefault="00A86FC3" w:rsidP="00A86FC3">
      <w:pPr>
        <w:pStyle w:val="Standard1"/>
        <w:ind w:left="360"/>
        <w:jc w:val="both"/>
        <w:rPr>
          <w:rFonts w:asciiTheme="minorHAnsi" w:hAnsiTheme="minorHAnsi" w:cstheme="minorHAnsi"/>
        </w:rPr>
      </w:pPr>
      <w:r w:rsidRPr="002B4CB6">
        <w:rPr>
          <w:rFonts w:asciiTheme="minorHAnsi" w:hAnsiTheme="minorHAnsi" w:cstheme="minorHAnsi"/>
        </w:rPr>
        <w:t>We believe PLUS-rated P2P products pay enough interest that lenders can expect positive returns, on average, even when going through a major recession and/or property crash. The higher the rating, the more quickly or easily we expect the average lender to recover losses, if they suffer any at all.</w:t>
      </w:r>
    </w:p>
    <w:p w:rsidR="00A86FC3" w:rsidRPr="002B4CB6" w:rsidRDefault="00A86FC3" w:rsidP="00A86FC3">
      <w:pPr>
        <w:pStyle w:val="Standard1"/>
        <w:ind w:left="360"/>
        <w:jc w:val="both"/>
        <w:rPr>
          <w:rFonts w:asciiTheme="minorHAnsi" w:hAnsiTheme="minorHAnsi" w:cstheme="minorHAnsi"/>
          <w:sz w:val="16"/>
          <w:szCs w:val="16"/>
        </w:rPr>
      </w:pPr>
    </w:p>
    <w:p w:rsidR="00A86FC3" w:rsidRDefault="00A86FC3" w:rsidP="00A86FC3">
      <w:pPr>
        <w:pStyle w:val="Standard1"/>
        <w:ind w:left="360"/>
        <w:jc w:val="both"/>
        <w:rPr>
          <w:rFonts w:asciiTheme="minorHAnsi" w:hAnsiTheme="minorHAnsi" w:cstheme="minorHAnsi"/>
        </w:rPr>
      </w:pPr>
      <w:r w:rsidRPr="002B4CB6">
        <w:rPr>
          <w:rFonts w:asciiTheme="minorHAnsi" w:hAnsiTheme="minorHAnsi" w:cstheme="minorHAnsi"/>
        </w:rPr>
        <w:t>The PLUS Ratings assume that you take steps to spread your money across lots of loans</w:t>
      </w:r>
      <w:r w:rsidR="002A053F">
        <w:rPr>
          <w:rFonts w:asciiTheme="minorHAnsi" w:hAnsiTheme="minorHAnsi" w:cstheme="minorHAnsi"/>
        </w:rPr>
        <w:t>, which might also mean lending across more than one P2P lending platform</w:t>
      </w:r>
      <w:r w:rsidRPr="002B4CB6">
        <w:rPr>
          <w:rFonts w:asciiTheme="minorHAnsi" w:hAnsiTheme="minorHAnsi" w:cstheme="minorHAnsi"/>
        </w:rPr>
        <w:t>.</w:t>
      </w:r>
    </w:p>
    <w:p w:rsidR="008420CC" w:rsidRPr="002A053F" w:rsidRDefault="008420CC" w:rsidP="005209E7">
      <w:pPr>
        <w:pStyle w:val="BodyText"/>
        <w:spacing w:after="0"/>
        <w:rPr>
          <w:rFonts w:asciiTheme="minorHAnsi" w:hAnsiTheme="minorHAnsi" w:cstheme="minorHAnsi"/>
          <w:lang w:val="en-US"/>
        </w:rPr>
      </w:pPr>
    </w:p>
    <w:p w:rsidR="006C616A" w:rsidRPr="00813055" w:rsidRDefault="006C616A" w:rsidP="005209E7">
      <w:pPr>
        <w:shd w:val="clear" w:color="auto" w:fill="FFFFFF"/>
        <w:spacing w:after="0"/>
        <w:jc w:val="both"/>
        <w:rPr>
          <w:rFonts w:asciiTheme="minorHAnsi" w:eastAsia="Times New Roman" w:hAnsiTheme="minorHAnsi" w:cstheme="minorHAnsi"/>
          <w:b/>
          <w:iCs/>
          <w:color w:val="2B2A29"/>
          <w:sz w:val="24"/>
          <w:szCs w:val="24"/>
        </w:rPr>
      </w:pPr>
      <w:r w:rsidRPr="00813055">
        <w:rPr>
          <w:rFonts w:asciiTheme="minorHAnsi" w:eastAsia="Times New Roman" w:hAnsiTheme="minorHAnsi" w:cstheme="minorHAnsi"/>
          <w:b/>
          <w:iCs/>
          <w:color w:val="2B2A29"/>
          <w:sz w:val="24"/>
          <w:szCs w:val="24"/>
        </w:rPr>
        <w:t xml:space="preserve">For interviews </w:t>
      </w:r>
      <w:r w:rsidR="00BA3BCB" w:rsidRPr="00813055">
        <w:rPr>
          <w:rFonts w:asciiTheme="minorHAnsi" w:eastAsia="Times New Roman" w:hAnsiTheme="minorHAnsi" w:cstheme="minorHAnsi"/>
          <w:b/>
          <w:iCs/>
          <w:color w:val="2B2A29"/>
          <w:sz w:val="24"/>
          <w:szCs w:val="24"/>
        </w:rPr>
        <w:t xml:space="preserve">with Neil Faulkner, or more </w:t>
      </w:r>
      <w:r w:rsidRPr="00813055">
        <w:rPr>
          <w:rFonts w:asciiTheme="minorHAnsi" w:eastAsia="Times New Roman" w:hAnsiTheme="minorHAnsi" w:cstheme="minorHAnsi"/>
          <w:b/>
          <w:iCs/>
          <w:color w:val="2B2A29"/>
          <w:sz w:val="24"/>
          <w:szCs w:val="24"/>
        </w:rPr>
        <w:t>information, please contact:</w:t>
      </w:r>
    </w:p>
    <w:p w:rsidR="006C616A" w:rsidRPr="00813055" w:rsidRDefault="006C616A" w:rsidP="005209E7">
      <w:pPr>
        <w:shd w:val="clear" w:color="auto" w:fill="FFFFFF"/>
        <w:spacing w:after="0"/>
        <w:jc w:val="both"/>
        <w:rPr>
          <w:rFonts w:asciiTheme="minorHAnsi" w:eastAsia="Times New Roman" w:hAnsiTheme="minorHAnsi" w:cstheme="minorHAnsi"/>
          <w:b/>
          <w:iCs/>
          <w:color w:val="000000"/>
          <w:sz w:val="24"/>
          <w:szCs w:val="24"/>
        </w:rPr>
      </w:pPr>
      <w:r w:rsidRPr="00813055">
        <w:rPr>
          <w:rFonts w:asciiTheme="minorHAnsi" w:eastAsia="Times New Roman" w:hAnsiTheme="minorHAnsi" w:cstheme="minorHAnsi"/>
          <w:b/>
          <w:iCs/>
          <w:color w:val="2B2A29"/>
          <w:sz w:val="24"/>
          <w:szCs w:val="24"/>
        </w:rPr>
        <w:t>Email:</w:t>
      </w:r>
      <w:r w:rsidRPr="00813055">
        <w:rPr>
          <w:rFonts w:asciiTheme="minorHAnsi" w:eastAsia="Times New Roman" w:hAnsiTheme="minorHAnsi" w:cstheme="minorHAnsi"/>
          <w:b/>
          <w:iCs/>
          <w:color w:val="2B2A29"/>
          <w:sz w:val="24"/>
          <w:szCs w:val="24"/>
        </w:rPr>
        <w:tab/>
      </w:r>
      <w:r w:rsidRPr="00813055">
        <w:rPr>
          <w:rFonts w:asciiTheme="minorHAnsi" w:eastAsia="Times New Roman" w:hAnsiTheme="minorHAnsi" w:cstheme="minorHAnsi"/>
          <w:b/>
          <w:iCs/>
          <w:color w:val="000000"/>
          <w:sz w:val="24"/>
          <w:szCs w:val="24"/>
        </w:rPr>
        <w:t> </w:t>
      </w:r>
      <w:hyperlink r:id="rId10" w:history="1">
        <w:r w:rsidRPr="00813055">
          <w:rPr>
            <w:rStyle w:val="Hyperlink"/>
            <w:rFonts w:asciiTheme="minorHAnsi" w:eastAsia="Times New Roman" w:hAnsiTheme="minorHAnsi" w:cstheme="minorHAnsi"/>
            <w:sz w:val="24"/>
            <w:szCs w:val="24"/>
          </w:rPr>
          <w:t>Sonia@soniarehill.com</w:t>
        </w:r>
      </w:hyperlink>
      <w:r w:rsidR="00D973C3" w:rsidRPr="00813055">
        <w:rPr>
          <w:rFonts w:asciiTheme="minorHAnsi" w:eastAsia="Times New Roman" w:hAnsiTheme="minorHAnsi" w:cstheme="minorHAnsi"/>
          <w:color w:val="2B2A29"/>
          <w:sz w:val="24"/>
          <w:szCs w:val="24"/>
        </w:rPr>
        <w:t xml:space="preserve"> </w:t>
      </w:r>
    </w:p>
    <w:p w:rsidR="006C616A" w:rsidRPr="00813055" w:rsidRDefault="006C616A" w:rsidP="005209E7">
      <w:pPr>
        <w:shd w:val="clear" w:color="auto" w:fill="FFFFFF"/>
        <w:spacing w:after="0"/>
        <w:jc w:val="both"/>
        <w:rPr>
          <w:rFonts w:asciiTheme="minorHAnsi" w:eastAsia="Times New Roman" w:hAnsiTheme="minorHAnsi" w:cstheme="minorHAnsi"/>
          <w:color w:val="2B2A29"/>
          <w:sz w:val="20"/>
          <w:szCs w:val="20"/>
        </w:rPr>
      </w:pPr>
      <w:r w:rsidRPr="00813055">
        <w:rPr>
          <w:rFonts w:asciiTheme="minorHAnsi" w:eastAsia="Times New Roman" w:hAnsiTheme="minorHAnsi" w:cstheme="minorHAnsi"/>
          <w:b/>
          <w:iCs/>
          <w:color w:val="2B2A29"/>
          <w:sz w:val="24"/>
          <w:szCs w:val="24"/>
        </w:rPr>
        <w:t>Telephone:</w:t>
      </w:r>
      <w:r w:rsidRPr="00813055">
        <w:rPr>
          <w:rFonts w:asciiTheme="minorHAnsi" w:eastAsia="Times New Roman" w:hAnsiTheme="minorHAnsi" w:cstheme="minorHAnsi"/>
          <w:b/>
          <w:iCs/>
          <w:color w:val="2B2A29"/>
          <w:sz w:val="24"/>
          <w:szCs w:val="24"/>
        </w:rPr>
        <w:tab/>
        <w:t xml:space="preserve"> </w:t>
      </w:r>
      <w:r w:rsidRPr="00813055">
        <w:rPr>
          <w:rFonts w:asciiTheme="minorHAnsi" w:eastAsia="Times New Roman" w:hAnsiTheme="minorHAnsi" w:cstheme="minorHAnsi"/>
          <w:iCs/>
          <w:color w:val="2B2A29"/>
          <w:sz w:val="24"/>
          <w:szCs w:val="24"/>
        </w:rPr>
        <w:t>07968 747331</w:t>
      </w:r>
      <w:r w:rsidRPr="00813055">
        <w:rPr>
          <w:rFonts w:asciiTheme="minorHAnsi" w:eastAsia="Times New Roman" w:hAnsiTheme="minorHAnsi" w:cstheme="minorHAnsi"/>
          <w:b/>
          <w:iCs/>
          <w:color w:val="2B2A29"/>
          <w:sz w:val="24"/>
          <w:szCs w:val="24"/>
        </w:rPr>
        <w:t xml:space="preserve"> </w:t>
      </w:r>
    </w:p>
    <w:p w:rsidR="006C616A" w:rsidRPr="00813055" w:rsidRDefault="006C616A">
      <w:pPr>
        <w:shd w:val="clear" w:color="auto" w:fill="FFFFFF"/>
        <w:spacing w:after="0" w:line="100" w:lineRule="atLeast"/>
        <w:jc w:val="both"/>
        <w:rPr>
          <w:rFonts w:asciiTheme="minorHAnsi" w:eastAsia="Times New Roman" w:hAnsiTheme="minorHAnsi" w:cstheme="minorHAnsi"/>
          <w:color w:val="2B2A29"/>
          <w:sz w:val="20"/>
          <w:szCs w:val="20"/>
        </w:rPr>
      </w:pPr>
      <w:r w:rsidRPr="00813055">
        <w:rPr>
          <w:rFonts w:asciiTheme="minorHAnsi" w:eastAsia="Times New Roman" w:hAnsiTheme="minorHAnsi" w:cstheme="minorHAnsi"/>
          <w:color w:val="2B2A29"/>
          <w:sz w:val="20"/>
          <w:szCs w:val="20"/>
        </w:rPr>
        <w:t> </w:t>
      </w:r>
    </w:p>
    <w:p w:rsidR="006C616A" w:rsidRPr="00813055" w:rsidRDefault="006C616A">
      <w:pPr>
        <w:shd w:val="clear" w:color="auto" w:fill="FFFFFF"/>
        <w:spacing w:after="0" w:line="100" w:lineRule="atLeast"/>
        <w:jc w:val="both"/>
        <w:rPr>
          <w:rFonts w:asciiTheme="minorHAnsi" w:hAnsiTheme="minorHAnsi" w:cstheme="minorHAnsi"/>
          <w:b/>
          <w:color w:val="2B2A29"/>
          <w:sz w:val="28"/>
          <w:szCs w:val="28"/>
        </w:rPr>
      </w:pPr>
      <w:r w:rsidRPr="00813055">
        <w:rPr>
          <w:rFonts w:asciiTheme="minorHAnsi" w:eastAsia="Times New Roman" w:hAnsiTheme="minorHAnsi" w:cstheme="minorHAnsi"/>
          <w:color w:val="2B2A29"/>
          <w:sz w:val="20"/>
          <w:szCs w:val="20"/>
        </w:rPr>
        <w:t> </w:t>
      </w:r>
    </w:p>
    <w:p w:rsidR="00371B4D" w:rsidRPr="00813055" w:rsidRDefault="006C616A" w:rsidP="00371B4D">
      <w:pPr>
        <w:jc w:val="both"/>
        <w:rPr>
          <w:rFonts w:asciiTheme="minorHAnsi" w:hAnsiTheme="minorHAnsi" w:cstheme="minorHAnsi"/>
          <w:b/>
          <w:color w:val="2B2A29"/>
          <w:sz w:val="28"/>
          <w:szCs w:val="28"/>
        </w:rPr>
      </w:pPr>
      <w:r w:rsidRPr="00813055">
        <w:rPr>
          <w:rFonts w:asciiTheme="minorHAnsi" w:hAnsiTheme="minorHAnsi" w:cstheme="minorHAnsi"/>
          <w:b/>
          <w:color w:val="2B2A29"/>
          <w:sz w:val="28"/>
          <w:szCs w:val="28"/>
        </w:rPr>
        <w:t>About 4thWay</w:t>
      </w:r>
      <w:r w:rsidRPr="00813055">
        <w:rPr>
          <w:rFonts w:asciiTheme="minorHAnsi" w:hAnsiTheme="minorHAnsi" w:cstheme="minorHAnsi"/>
          <w:b/>
          <w:color w:val="2B2A29"/>
          <w:sz w:val="28"/>
          <w:szCs w:val="28"/>
          <w:vertAlign w:val="superscript"/>
        </w:rPr>
        <w:t>®</w:t>
      </w:r>
      <w:r w:rsidRPr="00813055">
        <w:rPr>
          <w:rFonts w:asciiTheme="minorHAnsi" w:hAnsiTheme="minorHAnsi" w:cstheme="minorHAnsi"/>
          <w:b/>
          <w:color w:val="2B2A29"/>
          <w:sz w:val="28"/>
          <w:szCs w:val="28"/>
        </w:rPr>
        <w:t xml:space="preserve"> – P2P Lending Research Approved By Your Peers </w:t>
      </w:r>
    </w:p>
    <w:p w:rsidR="00371B4D" w:rsidRPr="00813055" w:rsidRDefault="00371B4D" w:rsidP="00371B4D">
      <w:pPr>
        <w:jc w:val="both"/>
        <w:rPr>
          <w:rFonts w:asciiTheme="minorHAnsi" w:hAnsiTheme="minorHAnsi" w:cstheme="minorHAnsi"/>
          <w:sz w:val="24"/>
          <w:szCs w:val="24"/>
        </w:rPr>
      </w:pPr>
      <w:r w:rsidRPr="00813055">
        <w:rPr>
          <w:rFonts w:asciiTheme="minorHAnsi" w:hAnsiTheme="minorHAnsi" w:cstheme="minorHAnsi"/>
          <w:color w:val="2B2A29"/>
          <w:sz w:val="24"/>
          <w:szCs w:val="24"/>
        </w:rPr>
        <w:t>4thWay</w:t>
      </w:r>
      <w:r w:rsidRPr="00813055">
        <w:rPr>
          <w:rFonts w:asciiTheme="minorHAnsi" w:hAnsiTheme="minorHAnsi" w:cstheme="minorHAnsi"/>
          <w:color w:val="2B2A29"/>
          <w:sz w:val="24"/>
          <w:szCs w:val="24"/>
          <w:vertAlign w:val="superscript"/>
        </w:rPr>
        <w:t>®</w:t>
      </w:r>
      <w:r w:rsidRPr="00813055">
        <w:rPr>
          <w:rFonts w:asciiTheme="minorHAnsi" w:hAnsiTheme="minorHAnsi" w:cstheme="minorHAnsi"/>
          <w:color w:val="2B2A29"/>
          <w:sz w:val="24"/>
          <w:szCs w:val="24"/>
        </w:rPr>
        <w:t xml:space="preserve"> is an independent ratings agency for the peer-to-peer lending market</w:t>
      </w:r>
      <w:r w:rsidRPr="00813055">
        <w:rPr>
          <w:rFonts w:asciiTheme="minorHAnsi" w:hAnsiTheme="minorHAnsi" w:cstheme="minorHAnsi"/>
          <w:color w:val="2B2A29"/>
          <w:sz w:val="24"/>
          <w:szCs w:val="24"/>
          <w:lang w:val="en-US"/>
        </w:rPr>
        <w:t xml:space="preserve"> that helps investors make comparing the many risks</w:t>
      </w:r>
      <w:r w:rsidR="009F5230" w:rsidRPr="00813055">
        <w:rPr>
          <w:rFonts w:asciiTheme="minorHAnsi" w:hAnsiTheme="minorHAnsi" w:cstheme="minorHAnsi"/>
          <w:color w:val="2B2A29"/>
          <w:sz w:val="24"/>
          <w:szCs w:val="24"/>
          <w:lang w:val="en-US"/>
        </w:rPr>
        <w:t xml:space="preserve"> and aspects</w:t>
      </w:r>
      <w:r w:rsidRPr="00813055">
        <w:rPr>
          <w:rFonts w:asciiTheme="minorHAnsi" w:hAnsiTheme="minorHAnsi" w:cstheme="minorHAnsi"/>
          <w:color w:val="2B2A29"/>
          <w:sz w:val="24"/>
          <w:szCs w:val="24"/>
          <w:lang w:val="en-US"/>
        </w:rPr>
        <w:t xml:space="preserve"> of lending through each P2P lending company easier.</w:t>
      </w:r>
      <w:r w:rsidRPr="00813055">
        <w:rPr>
          <w:rFonts w:asciiTheme="minorHAnsi" w:hAnsiTheme="minorHAnsi" w:cstheme="minorHAnsi"/>
          <w:color w:val="2B2A29"/>
          <w:sz w:val="24"/>
          <w:szCs w:val="24"/>
        </w:rPr>
        <w:t xml:space="preserve"> We unique</w:t>
      </w:r>
      <w:r w:rsidR="009F5230" w:rsidRPr="00813055">
        <w:rPr>
          <w:rFonts w:asciiTheme="minorHAnsi" w:hAnsiTheme="minorHAnsi" w:cstheme="minorHAnsi"/>
          <w:color w:val="2B2A29"/>
          <w:sz w:val="24"/>
          <w:szCs w:val="24"/>
        </w:rPr>
        <w:t>ly have the full range of skills to r</w:t>
      </w:r>
      <w:r w:rsidRPr="00813055">
        <w:rPr>
          <w:rFonts w:asciiTheme="minorHAnsi" w:hAnsiTheme="minorHAnsi" w:cstheme="minorHAnsi"/>
          <w:color w:val="2B2A29"/>
          <w:sz w:val="24"/>
          <w:szCs w:val="24"/>
        </w:rPr>
        <w:t xml:space="preserve">esearch opportunities in this sector, and provide unbiased </w:t>
      </w:r>
      <w:r w:rsidRPr="00813055">
        <w:rPr>
          <w:rFonts w:asciiTheme="minorHAnsi" w:hAnsiTheme="minorHAnsi" w:cstheme="minorHAnsi"/>
          <w:color w:val="2B2A29"/>
          <w:sz w:val="24"/>
          <w:szCs w:val="24"/>
          <w:lang w:val="en-US"/>
        </w:rPr>
        <w:t>P2P lending comparisons, calculated ratings, detailed company insight reports, as well as exclusive lending tips, all available at</w:t>
      </w:r>
      <w:r w:rsidRPr="00813055">
        <w:rPr>
          <w:rFonts w:asciiTheme="minorHAnsi" w:hAnsiTheme="minorHAnsi" w:cstheme="minorHAnsi"/>
          <w:sz w:val="24"/>
          <w:szCs w:val="24"/>
          <w:lang w:val="en-US"/>
        </w:rPr>
        <w:t xml:space="preserve"> </w:t>
      </w:r>
      <w:hyperlink r:id="rId11" w:history="1">
        <w:r w:rsidRPr="00813055">
          <w:rPr>
            <w:rStyle w:val="Hyperlink"/>
            <w:rFonts w:asciiTheme="minorHAnsi" w:hAnsiTheme="minorHAnsi" w:cstheme="minorHAnsi"/>
            <w:sz w:val="24"/>
            <w:szCs w:val="24"/>
          </w:rPr>
          <w:t>4thWay.co.uk</w:t>
        </w:r>
      </w:hyperlink>
      <w:r w:rsidRPr="00813055">
        <w:rPr>
          <w:rFonts w:asciiTheme="minorHAnsi" w:hAnsiTheme="minorHAnsi" w:cstheme="minorHAnsi"/>
          <w:sz w:val="24"/>
          <w:szCs w:val="24"/>
        </w:rPr>
        <w:t xml:space="preserve"> </w:t>
      </w:r>
    </w:p>
    <w:p w:rsidR="00371B4D" w:rsidRPr="00813055" w:rsidRDefault="00371B4D" w:rsidP="00371B4D">
      <w:pPr>
        <w:jc w:val="both"/>
        <w:rPr>
          <w:rFonts w:asciiTheme="minorHAnsi" w:hAnsiTheme="minorHAnsi" w:cstheme="minorHAnsi"/>
          <w:b/>
          <w:color w:val="2B2A29"/>
          <w:sz w:val="24"/>
          <w:szCs w:val="24"/>
        </w:rPr>
      </w:pPr>
      <w:r w:rsidRPr="00813055">
        <w:rPr>
          <w:rFonts w:asciiTheme="minorHAnsi" w:hAnsiTheme="minorHAnsi" w:cstheme="minorHAnsi"/>
          <w:color w:val="2B2A29"/>
          <w:sz w:val="24"/>
          <w:szCs w:val="24"/>
        </w:rPr>
        <w:t>Our mission is</w:t>
      </w:r>
      <w:r w:rsidRPr="00813055">
        <w:rPr>
          <w:rFonts w:asciiTheme="minorHAnsi" w:hAnsiTheme="minorHAnsi" w:cstheme="minorHAnsi"/>
          <w:color w:val="2B2A29"/>
          <w:sz w:val="24"/>
          <w:szCs w:val="24"/>
          <w:lang w:val="en-US"/>
        </w:rPr>
        <w:t xml:space="preserve"> to be the most trustworthy </w:t>
      </w:r>
      <w:r w:rsidR="009F5230" w:rsidRPr="00813055">
        <w:rPr>
          <w:rFonts w:asciiTheme="minorHAnsi" w:hAnsiTheme="minorHAnsi" w:cstheme="minorHAnsi"/>
          <w:color w:val="2B2A29"/>
          <w:sz w:val="24"/>
          <w:szCs w:val="24"/>
          <w:lang w:val="en-US"/>
        </w:rPr>
        <w:t>source of information for</w:t>
      </w:r>
      <w:r w:rsidRPr="00813055">
        <w:rPr>
          <w:rFonts w:asciiTheme="minorHAnsi" w:hAnsiTheme="minorHAnsi" w:cstheme="minorHAnsi"/>
          <w:color w:val="2B2A29"/>
          <w:sz w:val="24"/>
          <w:szCs w:val="24"/>
          <w:lang w:val="en-US"/>
        </w:rPr>
        <w:t xml:space="preserve"> P2P investors in the UK - which is why we hold ourselves accountable to our users, who govern us through a </w:t>
      </w:r>
      <w:r w:rsidRPr="00813055">
        <w:rPr>
          <w:rFonts w:asciiTheme="minorHAnsi" w:hAnsiTheme="minorHAnsi" w:cstheme="minorHAnsi"/>
          <w:i/>
          <w:color w:val="2B2A29"/>
          <w:sz w:val="24"/>
          <w:szCs w:val="24"/>
          <w:lang w:val="en-US"/>
        </w:rPr>
        <w:t>Panel of Peers</w:t>
      </w:r>
      <w:r w:rsidRPr="00813055">
        <w:rPr>
          <w:rFonts w:asciiTheme="minorHAnsi" w:hAnsiTheme="minorHAnsi" w:cstheme="minorHAnsi"/>
          <w:color w:val="2B2A29"/>
          <w:sz w:val="24"/>
          <w:szCs w:val="24"/>
          <w:lang w:val="en-US"/>
        </w:rPr>
        <w:t xml:space="preserve">, ensuring we always stay focused on individual lenders interests in this thriving market. </w:t>
      </w:r>
    </w:p>
    <w:p w:rsidR="006C616A" w:rsidRPr="00813055" w:rsidRDefault="006C616A">
      <w:pPr>
        <w:jc w:val="both"/>
        <w:rPr>
          <w:rFonts w:asciiTheme="minorHAnsi" w:hAnsiTheme="minorHAnsi" w:cstheme="minorHAnsi"/>
          <w:color w:val="2B2A29"/>
        </w:rPr>
      </w:pPr>
    </w:p>
    <w:sectPr w:rsidR="006C616A" w:rsidRPr="00813055" w:rsidSect="00BA4B6A">
      <w:headerReference w:type="default" r:id="rId12"/>
      <w:pgSz w:w="11906" w:h="16838"/>
      <w:pgMar w:top="0" w:right="1440" w:bottom="567" w:left="1440" w:header="426"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E4" w:rsidRDefault="008659E4">
      <w:pPr>
        <w:spacing w:after="0" w:line="240" w:lineRule="auto"/>
      </w:pPr>
      <w:r>
        <w:separator/>
      </w:r>
    </w:p>
  </w:endnote>
  <w:endnote w:type="continuationSeparator" w:id="0">
    <w:p w:rsidR="008659E4" w:rsidRDefault="00865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E4" w:rsidRDefault="008659E4">
      <w:pPr>
        <w:spacing w:after="0" w:line="240" w:lineRule="auto"/>
      </w:pPr>
      <w:r>
        <w:separator/>
      </w:r>
    </w:p>
  </w:footnote>
  <w:footnote w:type="continuationSeparator" w:id="0">
    <w:p w:rsidR="008659E4" w:rsidRDefault="00865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AF" w:rsidRDefault="00E65708" w:rsidP="00E65708">
    <w:pPr>
      <w:pStyle w:val="Header"/>
      <w:tabs>
        <w:tab w:val="clear" w:pos="4513"/>
        <w:tab w:val="clear" w:pos="9026"/>
        <w:tab w:val="left" w:pos="10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26"/>
    <w:multiLevelType w:val="hybridMultilevel"/>
    <w:tmpl w:val="C888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6C9C"/>
    <w:multiLevelType w:val="multilevel"/>
    <w:tmpl w:val="26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E6487"/>
    <w:multiLevelType w:val="hybridMultilevel"/>
    <w:tmpl w:val="983A8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128DE"/>
    <w:multiLevelType w:val="multilevel"/>
    <w:tmpl w:val="075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4474"/>
    <w:multiLevelType w:val="hybridMultilevel"/>
    <w:tmpl w:val="D138E4B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A3A59"/>
    <w:multiLevelType w:val="hybridMultilevel"/>
    <w:tmpl w:val="374E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A2DA2"/>
    <w:multiLevelType w:val="hybridMultilevel"/>
    <w:tmpl w:val="1B68D3E6"/>
    <w:lvl w:ilvl="0" w:tplc="08090001">
      <w:start w:val="1"/>
      <w:numFmt w:val="bullet"/>
      <w:lvlText w:val=""/>
      <w:lvlJc w:val="left"/>
      <w:pPr>
        <w:ind w:left="720" w:hanging="360"/>
      </w:pPr>
      <w:rPr>
        <w:rFonts w:ascii="Symbol" w:hAnsi="Symbol" w:hint="default"/>
      </w:rPr>
    </w:lvl>
    <w:lvl w:ilvl="1" w:tplc="9C061A42">
      <w:numFmt w:val="bullet"/>
      <w:lvlText w:val="-"/>
      <w:lvlJc w:val="left"/>
      <w:pPr>
        <w:ind w:left="1440" w:hanging="360"/>
      </w:pPr>
      <w:rPr>
        <w:rFonts w:ascii="Calibri" w:eastAsia="SimSun" w:hAnsi="Calibri"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06C2A"/>
    <w:multiLevelType w:val="hybridMultilevel"/>
    <w:tmpl w:val="59CE8824"/>
    <w:lvl w:ilvl="0" w:tplc="6FF6AC44">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64886"/>
    <w:multiLevelType w:val="hybridMultilevel"/>
    <w:tmpl w:val="91C852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334D12"/>
    <w:multiLevelType w:val="hybridMultilevel"/>
    <w:tmpl w:val="D5E681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B065EA"/>
    <w:multiLevelType w:val="hybridMultilevel"/>
    <w:tmpl w:val="DE0C316A"/>
    <w:lvl w:ilvl="0" w:tplc="27C0779A">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EA653D4"/>
    <w:multiLevelType w:val="hybridMultilevel"/>
    <w:tmpl w:val="6512D8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4F46CA"/>
    <w:multiLevelType w:val="hybridMultilevel"/>
    <w:tmpl w:val="65DC19D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758A6"/>
    <w:multiLevelType w:val="hybridMultilevel"/>
    <w:tmpl w:val="517ECBEE"/>
    <w:lvl w:ilvl="0" w:tplc="D7A43CF8">
      <w:numFmt w:val="bullet"/>
      <w:lvlText w:val="-"/>
      <w:lvlJc w:val="left"/>
      <w:pPr>
        <w:ind w:left="720" w:hanging="360"/>
      </w:pPr>
      <w:rPr>
        <w:rFonts w:ascii="Calibri" w:eastAsia="SimSu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8A2916"/>
    <w:multiLevelType w:val="multilevel"/>
    <w:tmpl w:val="EC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3"/>
  </w:num>
  <w:num w:numId="4">
    <w:abstractNumId w:val="6"/>
  </w:num>
  <w:num w:numId="5">
    <w:abstractNumId w:val="0"/>
  </w:num>
  <w:num w:numId="6">
    <w:abstractNumId w:val="5"/>
  </w:num>
  <w:num w:numId="7">
    <w:abstractNumId w:val="11"/>
  </w:num>
  <w:num w:numId="8">
    <w:abstractNumId w:val="10"/>
  </w:num>
  <w:num w:numId="9">
    <w:abstractNumId w:val="4"/>
  </w:num>
  <w:num w:numId="10">
    <w:abstractNumId w:val="1"/>
  </w:num>
  <w:num w:numId="11">
    <w:abstractNumId w:val="3"/>
  </w:num>
  <w:num w:numId="12">
    <w:abstractNumId w:val="14"/>
  </w:num>
  <w:num w:numId="13">
    <w:abstractNumId w:val="9"/>
  </w:num>
  <w:num w:numId="14">
    <w:abstractNumId w:val="2"/>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
    <w15:presenceInfo w15:providerId="None" w15:userId="Geo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AD1134"/>
    <w:rsid w:val="00016306"/>
    <w:rsid w:val="00021E06"/>
    <w:rsid w:val="00044935"/>
    <w:rsid w:val="00046592"/>
    <w:rsid w:val="00054E0B"/>
    <w:rsid w:val="00083E07"/>
    <w:rsid w:val="00092350"/>
    <w:rsid w:val="00094FBA"/>
    <w:rsid w:val="00097BD0"/>
    <w:rsid w:val="000A21A7"/>
    <w:rsid w:val="000A61EB"/>
    <w:rsid w:val="000A62E9"/>
    <w:rsid w:val="000A6639"/>
    <w:rsid w:val="000B2802"/>
    <w:rsid w:val="000C0E88"/>
    <w:rsid w:val="000D24DA"/>
    <w:rsid w:val="000D7852"/>
    <w:rsid w:val="000E1F1E"/>
    <w:rsid w:val="0011074F"/>
    <w:rsid w:val="0013593E"/>
    <w:rsid w:val="00140327"/>
    <w:rsid w:val="001413BA"/>
    <w:rsid w:val="00145B44"/>
    <w:rsid w:val="001476E9"/>
    <w:rsid w:val="00152D7A"/>
    <w:rsid w:val="00161936"/>
    <w:rsid w:val="001632D7"/>
    <w:rsid w:val="00176DF3"/>
    <w:rsid w:val="00180624"/>
    <w:rsid w:val="00180D86"/>
    <w:rsid w:val="001916AD"/>
    <w:rsid w:val="00196CA5"/>
    <w:rsid w:val="001A3E4B"/>
    <w:rsid w:val="001C419F"/>
    <w:rsid w:val="001C5DFE"/>
    <w:rsid w:val="001D3E0A"/>
    <w:rsid w:val="001D3FCC"/>
    <w:rsid w:val="001F60DC"/>
    <w:rsid w:val="001F682F"/>
    <w:rsid w:val="00203108"/>
    <w:rsid w:val="002105ED"/>
    <w:rsid w:val="00212807"/>
    <w:rsid w:val="00221BB9"/>
    <w:rsid w:val="00225937"/>
    <w:rsid w:val="002454DB"/>
    <w:rsid w:val="00247751"/>
    <w:rsid w:val="00250108"/>
    <w:rsid w:val="0025217D"/>
    <w:rsid w:val="0026724F"/>
    <w:rsid w:val="00270F83"/>
    <w:rsid w:val="00273BF1"/>
    <w:rsid w:val="00275E09"/>
    <w:rsid w:val="00290A26"/>
    <w:rsid w:val="00291E55"/>
    <w:rsid w:val="0029393E"/>
    <w:rsid w:val="002A053F"/>
    <w:rsid w:val="002A1987"/>
    <w:rsid w:val="002A6F3C"/>
    <w:rsid w:val="002B03B5"/>
    <w:rsid w:val="002B4CB6"/>
    <w:rsid w:val="002C62E7"/>
    <w:rsid w:val="00302569"/>
    <w:rsid w:val="00311325"/>
    <w:rsid w:val="0031438D"/>
    <w:rsid w:val="003152BA"/>
    <w:rsid w:val="003160E8"/>
    <w:rsid w:val="003323AB"/>
    <w:rsid w:val="00347976"/>
    <w:rsid w:val="00353ED7"/>
    <w:rsid w:val="00366009"/>
    <w:rsid w:val="00371B4D"/>
    <w:rsid w:val="00375A60"/>
    <w:rsid w:val="00375CB1"/>
    <w:rsid w:val="00380091"/>
    <w:rsid w:val="00385287"/>
    <w:rsid w:val="00385700"/>
    <w:rsid w:val="003A6E3F"/>
    <w:rsid w:val="003B042E"/>
    <w:rsid w:val="003B2A65"/>
    <w:rsid w:val="003C00AA"/>
    <w:rsid w:val="003D0AE7"/>
    <w:rsid w:val="003D574E"/>
    <w:rsid w:val="003D66A8"/>
    <w:rsid w:val="003E1F42"/>
    <w:rsid w:val="003E2CC0"/>
    <w:rsid w:val="00401B1D"/>
    <w:rsid w:val="00406027"/>
    <w:rsid w:val="00413766"/>
    <w:rsid w:val="00413997"/>
    <w:rsid w:val="00413DC2"/>
    <w:rsid w:val="00424BB5"/>
    <w:rsid w:val="004317F0"/>
    <w:rsid w:val="00435D29"/>
    <w:rsid w:val="00437499"/>
    <w:rsid w:val="00441BEC"/>
    <w:rsid w:val="00445DC7"/>
    <w:rsid w:val="00450026"/>
    <w:rsid w:val="00450273"/>
    <w:rsid w:val="00451802"/>
    <w:rsid w:val="00457915"/>
    <w:rsid w:val="004632F0"/>
    <w:rsid w:val="00473E3A"/>
    <w:rsid w:val="00477873"/>
    <w:rsid w:val="004828F2"/>
    <w:rsid w:val="00484298"/>
    <w:rsid w:val="004A1FF5"/>
    <w:rsid w:val="004A61DA"/>
    <w:rsid w:val="004B5A11"/>
    <w:rsid w:val="004B72D3"/>
    <w:rsid w:val="004C6A43"/>
    <w:rsid w:val="004C7110"/>
    <w:rsid w:val="004D1575"/>
    <w:rsid w:val="004E630C"/>
    <w:rsid w:val="004F19E1"/>
    <w:rsid w:val="004F51B8"/>
    <w:rsid w:val="004F6467"/>
    <w:rsid w:val="0050040F"/>
    <w:rsid w:val="00514B11"/>
    <w:rsid w:val="005209E7"/>
    <w:rsid w:val="00530B0F"/>
    <w:rsid w:val="00536547"/>
    <w:rsid w:val="00536813"/>
    <w:rsid w:val="00544F72"/>
    <w:rsid w:val="00552D29"/>
    <w:rsid w:val="0055654F"/>
    <w:rsid w:val="00565304"/>
    <w:rsid w:val="005A3ADF"/>
    <w:rsid w:val="005A43BB"/>
    <w:rsid w:val="005A6369"/>
    <w:rsid w:val="005A689A"/>
    <w:rsid w:val="005B404C"/>
    <w:rsid w:val="005C31F0"/>
    <w:rsid w:val="005D3C31"/>
    <w:rsid w:val="005E5446"/>
    <w:rsid w:val="005F19FF"/>
    <w:rsid w:val="00602B02"/>
    <w:rsid w:val="00607A7F"/>
    <w:rsid w:val="00625817"/>
    <w:rsid w:val="0063057B"/>
    <w:rsid w:val="006335EF"/>
    <w:rsid w:val="00636140"/>
    <w:rsid w:val="00640D4C"/>
    <w:rsid w:val="00641D16"/>
    <w:rsid w:val="00645D74"/>
    <w:rsid w:val="00655819"/>
    <w:rsid w:val="00655C4D"/>
    <w:rsid w:val="00664572"/>
    <w:rsid w:val="006647EC"/>
    <w:rsid w:val="006727FF"/>
    <w:rsid w:val="00672935"/>
    <w:rsid w:val="00676BDF"/>
    <w:rsid w:val="00690089"/>
    <w:rsid w:val="006B3883"/>
    <w:rsid w:val="006B5466"/>
    <w:rsid w:val="006C26C8"/>
    <w:rsid w:val="006C616A"/>
    <w:rsid w:val="006D1E7B"/>
    <w:rsid w:val="006E4687"/>
    <w:rsid w:val="006E5B84"/>
    <w:rsid w:val="006F3AC6"/>
    <w:rsid w:val="0070426C"/>
    <w:rsid w:val="007060FF"/>
    <w:rsid w:val="00713F20"/>
    <w:rsid w:val="00716F27"/>
    <w:rsid w:val="007266A6"/>
    <w:rsid w:val="00737910"/>
    <w:rsid w:val="00737A64"/>
    <w:rsid w:val="0074011E"/>
    <w:rsid w:val="00744053"/>
    <w:rsid w:val="0075311A"/>
    <w:rsid w:val="00761F9E"/>
    <w:rsid w:val="007664B3"/>
    <w:rsid w:val="0077455A"/>
    <w:rsid w:val="00777C71"/>
    <w:rsid w:val="007834F2"/>
    <w:rsid w:val="00790857"/>
    <w:rsid w:val="007917A6"/>
    <w:rsid w:val="007A13B1"/>
    <w:rsid w:val="007A4F99"/>
    <w:rsid w:val="007B216E"/>
    <w:rsid w:val="007B4D4E"/>
    <w:rsid w:val="007C267A"/>
    <w:rsid w:val="007C60F0"/>
    <w:rsid w:val="007D0050"/>
    <w:rsid w:val="007D46AA"/>
    <w:rsid w:val="007E0696"/>
    <w:rsid w:val="007E0E88"/>
    <w:rsid w:val="007E5073"/>
    <w:rsid w:val="007F5302"/>
    <w:rsid w:val="00811EF7"/>
    <w:rsid w:val="00813055"/>
    <w:rsid w:val="00826010"/>
    <w:rsid w:val="008302A2"/>
    <w:rsid w:val="008329EA"/>
    <w:rsid w:val="0083764F"/>
    <w:rsid w:val="008420CC"/>
    <w:rsid w:val="00842EC1"/>
    <w:rsid w:val="00845A66"/>
    <w:rsid w:val="00861E92"/>
    <w:rsid w:val="008659E4"/>
    <w:rsid w:val="00873635"/>
    <w:rsid w:val="008A724F"/>
    <w:rsid w:val="008B2893"/>
    <w:rsid w:val="008E06FF"/>
    <w:rsid w:val="008E204C"/>
    <w:rsid w:val="008E37FA"/>
    <w:rsid w:val="008E54B5"/>
    <w:rsid w:val="008E69C9"/>
    <w:rsid w:val="008E7AA2"/>
    <w:rsid w:val="00900B1C"/>
    <w:rsid w:val="009031AF"/>
    <w:rsid w:val="009112AF"/>
    <w:rsid w:val="00912E8E"/>
    <w:rsid w:val="00924D1E"/>
    <w:rsid w:val="00926A7E"/>
    <w:rsid w:val="00926EB7"/>
    <w:rsid w:val="00930E3C"/>
    <w:rsid w:val="0096279E"/>
    <w:rsid w:val="009B0D64"/>
    <w:rsid w:val="009D285C"/>
    <w:rsid w:val="009E1E2E"/>
    <w:rsid w:val="009F5230"/>
    <w:rsid w:val="00A01B55"/>
    <w:rsid w:val="00A125CE"/>
    <w:rsid w:val="00A342EE"/>
    <w:rsid w:val="00A60513"/>
    <w:rsid w:val="00A66738"/>
    <w:rsid w:val="00A855BD"/>
    <w:rsid w:val="00A85B00"/>
    <w:rsid w:val="00A86FC3"/>
    <w:rsid w:val="00A950DE"/>
    <w:rsid w:val="00AA24C9"/>
    <w:rsid w:val="00AA79FF"/>
    <w:rsid w:val="00AC4E75"/>
    <w:rsid w:val="00AD106A"/>
    <w:rsid w:val="00AD1134"/>
    <w:rsid w:val="00AD6A63"/>
    <w:rsid w:val="00AE619A"/>
    <w:rsid w:val="00AF00E6"/>
    <w:rsid w:val="00AF4636"/>
    <w:rsid w:val="00AF7AAC"/>
    <w:rsid w:val="00B03908"/>
    <w:rsid w:val="00B1790D"/>
    <w:rsid w:val="00B22834"/>
    <w:rsid w:val="00B519A3"/>
    <w:rsid w:val="00B6273E"/>
    <w:rsid w:val="00BA3BCB"/>
    <w:rsid w:val="00BA4B6A"/>
    <w:rsid w:val="00BB1027"/>
    <w:rsid w:val="00BC5081"/>
    <w:rsid w:val="00BD36EF"/>
    <w:rsid w:val="00BE2752"/>
    <w:rsid w:val="00BE45D9"/>
    <w:rsid w:val="00BF444B"/>
    <w:rsid w:val="00C15227"/>
    <w:rsid w:val="00C1553B"/>
    <w:rsid w:val="00C158E3"/>
    <w:rsid w:val="00C36A2E"/>
    <w:rsid w:val="00C43B11"/>
    <w:rsid w:val="00C66A7E"/>
    <w:rsid w:val="00CA7336"/>
    <w:rsid w:val="00CB07D7"/>
    <w:rsid w:val="00CB4598"/>
    <w:rsid w:val="00CC157B"/>
    <w:rsid w:val="00CC2FE9"/>
    <w:rsid w:val="00CD7D78"/>
    <w:rsid w:val="00CE1020"/>
    <w:rsid w:val="00CE67D8"/>
    <w:rsid w:val="00CF161A"/>
    <w:rsid w:val="00CF2368"/>
    <w:rsid w:val="00CF4470"/>
    <w:rsid w:val="00CF71AE"/>
    <w:rsid w:val="00D00FFD"/>
    <w:rsid w:val="00D035CB"/>
    <w:rsid w:val="00D21A10"/>
    <w:rsid w:val="00D46A35"/>
    <w:rsid w:val="00D66DF2"/>
    <w:rsid w:val="00D714A0"/>
    <w:rsid w:val="00D7374D"/>
    <w:rsid w:val="00D803A7"/>
    <w:rsid w:val="00D81AF5"/>
    <w:rsid w:val="00D973C3"/>
    <w:rsid w:val="00DC00F3"/>
    <w:rsid w:val="00DD21E4"/>
    <w:rsid w:val="00DD4595"/>
    <w:rsid w:val="00DE559D"/>
    <w:rsid w:val="00E00CB7"/>
    <w:rsid w:val="00E05F11"/>
    <w:rsid w:val="00E108FD"/>
    <w:rsid w:val="00E275B0"/>
    <w:rsid w:val="00E34C74"/>
    <w:rsid w:val="00E358F0"/>
    <w:rsid w:val="00E35A09"/>
    <w:rsid w:val="00E60249"/>
    <w:rsid w:val="00E65708"/>
    <w:rsid w:val="00E67BA6"/>
    <w:rsid w:val="00E73BDF"/>
    <w:rsid w:val="00E87DEE"/>
    <w:rsid w:val="00E94093"/>
    <w:rsid w:val="00EB3844"/>
    <w:rsid w:val="00EC0D29"/>
    <w:rsid w:val="00EC6599"/>
    <w:rsid w:val="00F21391"/>
    <w:rsid w:val="00F35915"/>
    <w:rsid w:val="00F36A2E"/>
    <w:rsid w:val="00F51A83"/>
    <w:rsid w:val="00F64A33"/>
    <w:rsid w:val="00F73A01"/>
    <w:rsid w:val="00F74156"/>
    <w:rsid w:val="00F76F6E"/>
    <w:rsid w:val="00F80089"/>
    <w:rsid w:val="00F8328E"/>
    <w:rsid w:val="00F91E8C"/>
    <w:rsid w:val="00F942BA"/>
    <w:rsid w:val="00F96027"/>
    <w:rsid w:val="00F979C8"/>
    <w:rsid w:val="00F97E87"/>
    <w:rsid w:val="00FB0366"/>
    <w:rsid w:val="00FB72D6"/>
    <w:rsid w:val="00FC4C32"/>
    <w:rsid w:val="00FC6386"/>
    <w:rsid w:val="00FD7186"/>
    <w:rsid w:val="00FE0A49"/>
    <w:rsid w:val="00FE0FD4"/>
    <w:rsid w:val="00FE69A3"/>
    <w:rsid w:val="00FE796C"/>
    <w:rsid w:val="00FF39F7"/>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F"/>
    <w:pPr>
      <w:suppressAutoHyphens/>
      <w:spacing w:after="200" w:line="276" w:lineRule="auto"/>
    </w:pPr>
    <w:rPr>
      <w:rFonts w:ascii="Calibri" w:eastAsia="SimSun" w:hAnsi="Calibri" w:cs="Tahoma"/>
      <w:sz w:val="22"/>
      <w:szCs w:val="22"/>
      <w:lang w:val="en-GB" w:eastAsia="ar-SA"/>
    </w:rPr>
  </w:style>
  <w:style w:type="paragraph" w:styleId="Heading1">
    <w:name w:val="heading 1"/>
    <w:basedOn w:val="Normal"/>
    <w:link w:val="Heading1Char"/>
    <w:uiPriority w:val="9"/>
    <w:qFormat/>
    <w:rsid w:val="006727F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60F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5A3ADF"/>
  </w:style>
  <w:style w:type="character" w:customStyle="1" w:styleId="apple-converted-space">
    <w:name w:val="apple-converted-space"/>
    <w:basedOn w:val="WW-DefaultParagraphFont"/>
    <w:rsid w:val="005A3ADF"/>
  </w:style>
  <w:style w:type="character" w:styleId="Hyperlink">
    <w:name w:val="Hyperlink"/>
    <w:rsid w:val="005A3ADF"/>
    <w:rPr>
      <w:color w:val="0000FF"/>
      <w:u w:val="single"/>
    </w:rPr>
  </w:style>
  <w:style w:type="character" w:styleId="Strong">
    <w:name w:val="Strong"/>
    <w:qFormat/>
    <w:rsid w:val="005A3ADF"/>
    <w:rPr>
      <w:b/>
      <w:bCs/>
    </w:rPr>
  </w:style>
  <w:style w:type="character" w:styleId="Emphasis">
    <w:name w:val="Emphasis"/>
    <w:qFormat/>
    <w:rsid w:val="005A3ADF"/>
    <w:rPr>
      <w:i/>
      <w:iCs/>
    </w:rPr>
  </w:style>
  <w:style w:type="character" w:customStyle="1" w:styleId="HeaderChar">
    <w:name w:val="Header Char"/>
    <w:basedOn w:val="WW-DefaultParagraphFont"/>
    <w:rsid w:val="005A3ADF"/>
  </w:style>
  <w:style w:type="character" w:customStyle="1" w:styleId="FooterChar">
    <w:name w:val="Footer Char"/>
    <w:basedOn w:val="WW-DefaultParagraphFont"/>
    <w:rsid w:val="005A3ADF"/>
  </w:style>
  <w:style w:type="character" w:customStyle="1" w:styleId="BalloonTextChar">
    <w:name w:val="Balloon Text Char"/>
    <w:rsid w:val="005A3ADF"/>
    <w:rPr>
      <w:rFonts w:ascii="Tahoma" w:hAnsi="Tahoma" w:cs="Tahoma"/>
      <w:sz w:val="16"/>
      <w:szCs w:val="16"/>
    </w:rPr>
  </w:style>
  <w:style w:type="character" w:customStyle="1" w:styleId="CommentReference1">
    <w:name w:val="Comment Reference1"/>
    <w:rsid w:val="005A3ADF"/>
    <w:rPr>
      <w:sz w:val="16"/>
      <w:szCs w:val="16"/>
    </w:rPr>
  </w:style>
  <w:style w:type="character" w:customStyle="1" w:styleId="CommentTextChar">
    <w:name w:val="Comment Text Char"/>
    <w:uiPriority w:val="99"/>
    <w:rsid w:val="005A3ADF"/>
    <w:rPr>
      <w:sz w:val="20"/>
      <w:szCs w:val="20"/>
    </w:rPr>
  </w:style>
  <w:style w:type="character" w:customStyle="1" w:styleId="CommentSubjectChar">
    <w:name w:val="Comment Subject Char"/>
    <w:rsid w:val="005A3ADF"/>
    <w:rPr>
      <w:b/>
      <w:bCs/>
      <w:sz w:val="20"/>
      <w:szCs w:val="20"/>
    </w:rPr>
  </w:style>
  <w:style w:type="character" w:styleId="FollowedHyperlink">
    <w:name w:val="FollowedHyperlink"/>
    <w:rsid w:val="005A3ADF"/>
    <w:rPr>
      <w:color w:val="800080"/>
      <w:u w:val="single"/>
    </w:rPr>
  </w:style>
  <w:style w:type="character" w:styleId="CommentReference">
    <w:name w:val="annotation reference"/>
    <w:uiPriority w:val="99"/>
    <w:rsid w:val="005A3ADF"/>
    <w:rPr>
      <w:sz w:val="16"/>
      <w:szCs w:val="16"/>
    </w:rPr>
  </w:style>
  <w:style w:type="character" w:customStyle="1" w:styleId="CommentTextChar1">
    <w:name w:val="Comment Text Char1"/>
    <w:rsid w:val="005A3ADF"/>
    <w:rPr>
      <w:rFonts w:ascii="Calibri" w:eastAsia="SimSun" w:hAnsi="Calibri" w:cs="Tahoma"/>
    </w:rPr>
  </w:style>
  <w:style w:type="character" w:customStyle="1" w:styleId="CommentSubjectChar1">
    <w:name w:val="Comment Subject Char1"/>
    <w:rsid w:val="005A3ADF"/>
    <w:rPr>
      <w:rFonts w:ascii="Calibri" w:eastAsia="SimSun" w:hAnsi="Calibri" w:cs="Tahoma"/>
      <w:b/>
      <w:bCs/>
    </w:rPr>
  </w:style>
  <w:style w:type="paragraph" w:customStyle="1" w:styleId="Heading">
    <w:name w:val="Heading"/>
    <w:basedOn w:val="Normal"/>
    <w:next w:val="BodyText"/>
    <w:rsid w:val="005A3ADF"/>
    <w:pPr>
      <w:keepNext/>
      <w:spacing w:before="240" w:after="120"/>
    </w:pPr>
    <w:rPr>
      <w:rFonts w:ascii="Arial" w:eastAsia="Microsoft YaHei" w:hAnsi="Arial" w:cs="Mangal"/>
      <w:sz w:val="28"/>
      <w:szCs w:val="28"/>
    </w:rPr>
  </w:style>
  <w:style w:type="paragraph" w:styleId="BodyText">
    <w:name w:val="Body Text"/>
    <w:basedOn w:val="Normal"/>
    <w:link w:val="BodyTextChar"/>
    <w:rsid w:val="005A3ADF"/>
    <w:pPr>
      <w:spacing w:after="120"/>
    </w:pPr>
  </w:style>
  <w:style w:type="paragraph" w:styleId="List">
    <w:name w:val="List"/>
    <w:basedOn w:val="BodyText"/>
    <w:rsid w:val="005A3ADF"/>
    <w:rPr>
      <w:rFonts w:cs="Mangal"/>
    </w:rPr>
  </w:style>
  <w:style w:type="paragraph" w:styleId="Caption">
    <w:name w:val="caption"/>
    <w:basedOn w:val="Normal"/>
    <w:qFormat/>
    <w:rsid w:val="005A3ADF"/>
    <w:pPr>
      <w:suppressLineNumbers/>
      <w:spacing w:before="120" w:after="120"/>
    </w:pPr>
    <w:rPr>
      <w:rFonts w:cs="Mangal"/>
      <w:i/>
      <w:iCs/>
      <w:sz w:val="24"/>
      <w:szCs w:val="24"/>
    </w:rPr>
  </w:style>
  <w:style w:type="paragraph" w:customStyle="1" w:styleId="Index">
    <w:name w:val="Index"/>
    <w:basedOn w:val="Normal"/>
    <w:rsid w:val="005A3ADF"/>
    <w:pPr>
      <w:suppressLineNumbers/>
    </w:pPr>
    <w:rPr>
      <w:rFonts w:cs="Mangal"/>
    </w:rPr>
  </w:style>
  <w:style w:type="paragraph" w:styleId="Header">
    <w:name w:val="header"/>
    <w:basedOn w:val="Normal"/>
    <w:rsid w:val="005A3ADF"/>
    <w:pPr>
      <w:suppressLineNumbers/>
      <w:tabs>
        <w:tab w:val="center" w:pos="4513"/>
        <w:tab w:val="right" w:pos="9026"/>
      </w:tabs>
      <w:spacing w:after="0" w:line="100" w:lineRule="atLeast"/>
    </w:pPr>
  </w:style>
  <w:style w:type="paragraph" w:styleId="Footer">
    <w:name w:val="footer"/>
    <w:basedOn w:val="Normal"/>
    <w:rsid w:val="005A3ADF"/>
    <w:pPr>
      <w:suppressLineNumbers/>
      <w:tabs>
        <w:tab w:val="center" w:pos="4513"/>
        <w:tab w:val="right" w:pos="9026"/>
      </w:tabs>
      <w:spacing w:after="0" w:line="100" w:lineRule="atLeast"/>
    </w:pPr>
  </w:style>
  <w:style w:type="paragraph" w:styleId="BalloonText">
    <w:name w:val="Balloon Text"/>
    <w:basedOn w:val="Normal"/>
    <w:rsid w:val="005A3ADF"/>
    <w:pPr>
      <w:spacing w:after="0" w:line="100" w:lineRule="atLeast"/>
    </w:pPr>
    <w:rPr>
      <w:rFonts w:ascii="Tahoma" w:hAnsi="Tahoma"/>
      <w:sz w:val="16"/>
      <w:szCs w:val="16"/>
    </w:rPr>
  </w:style>
  <w:style w:type="paragraph" w:customStyle="1" w:styleId="ecxmsonormal">
    <w:name w:val="ecxmsonormal"/>
    <w:basedOn w:val="Normal"/>
    <w:rsid w:val="005A3ADF"/>
    <w:pPr>
      <w:spacing w:after="324" w:line="100" w:lineRule="atLeast"/>
    </w:pPr>
    <w:rPr>
      <w:rFonts w:ascii="Times New Roman" w:eastAsia="Times New Roman" w:hAnsi="Times New Roman" w:cs="Times New Roman"/>
      <w:sz w:val="24"/>
      <w:szCs w:val="24"/>
    </w:rPr>
  </w:style>
  <w:style w:type="paragraph" w:styleId="NoSpacing">
    <w:name w:val="No Spacing"/>
    <w:qFormat/>
    <w:rsid w:val="005A3ADF"/>
    <w:pPr>
      <w:suppressAutoHyphens/>
      <w:spacing w:line="100" w:lineRule="atLeast"/>
    </w:pPr>
    <w:rPr>
      <w:rFonts w:ascii="Calibri" w:eastAsia="SimSun" w:hAnsi="Calibri" w:cs="Tahoma"/>
      <w:sz w:val="22"/>
      <w:szCs w:val="22"/>
      <w:lang w:val="en-GB" w:eastAsia="ar-SA"/>
    </w:rPr>
  </w:style>
  <w:style w:type="paragraph" w:customStyle="1" w:styleId="CommentText1">
    <w:name w:val="Comment Text1"/>
    <w:basedOn w:val="Normal"/>
    <w:rsid w:val="005A3ADF"/>
    <w:pPr>
      <w:spacing w:line="100" w:lineRule="atLeast"/>
    </w:pPr>
    <w:rPr>
      <w:sz w:val="20"/>
      <w:szCs w:val="20"/>
    </w:rPr>
  </w:style>
  <w:style w:type="paragraph" w:customStyle="1" w:styleId="CommentSubject1">
    <w:name w:val="Comment Subject1"/>
    <w:basedOn w:val="CommentText1"/>
    <w:rsid w:val="005A3ADF"/>
    <w:rPr>
      <w:b/>
      <w:bCs/>
    </w:rPr>
  </w:style>
  <w:style w:type="paragraph" w:customStyle="1" w:styleId="intro3">
    <w:name w:val="intro3"/>
    <w:basedOn w:val="Normal"/>
    <w:rsid w:val="005A3ADF"/>
    <w:pPr>
      <w:spacing w:before="306" w:after="306" w:line="245" w:lineRule="atLeast"/>
    </w:pPr>
    <w:rPr>
      <w:rFonts w:ascii="Times New Roman" w:eastAsia="Times New Roman" w:hAnsi="Times New Roman" w:cs="Times New Roman"/>
      <w:color w:val="666666"/>
      <w:sz w:val="18"/>
      <w:szCs w:val="18"/>
    </w:rPr>
  </w:style>
  <w:style w:type="paragraph" w:styleId="CommentText">
    <w:name w:val="annotation text"/>
    <w:basedOn w:val="Normal"/>
    <w:uiPriority w:val="99"/>
    <w:rsid w:val="005A3ADF"/>
    <w:rPr>
      <w:sz w:val="20"/>
      <w:szCs w:val="20"/>
    </w:rPr>
  </w:style>
  <w:style w:type="paragraph" w:styleId="CommentSubject">
    <w:name w:val="annotation subject"/>
    <w:basedOn w:val="CommentText"/>
    <w:next w:val="CommentText"/>
    <w:rsid w:val="005A3ADF"/>
    <w:rPr>
      <w:b/>
      <w:bCs/>
    </w:rPr>
  </w:style>
  <w:style w:type="character" w:customStyle="1" w:styleId="Heading1Char">
    <w:name w:val="Heading 1 Char"/>
    <w:link w:val="Heading1"/>
    <w:uiPriority w:val="9"/>
    <w:rsid w:val="006727FF"/>
    <w:rPr>
      <w:b/>
      <w:bCs/>
      <w:kern w:val="36"/>
      <w:sz w:val="48"/>
      <w:szCs w:val="48"/>
    </w:rPr>
  </w:style>
  <w:style w:type="paragraph" w:styleId="Revision">
    <w:name w:val="Revision"/>
    <w:hidden/>
    <w:uiPriority w:val="99"/>
    <w:semiHidden/>
    <w:rsid w:val="00F64A33"/>
    <w:rPr>
      <w:rFonts w:ascii="Calibri" w:eastAsia="SimSun" w:hAnsi="Calibri" w:cs="Tahoma"/>
      <w:sz w:val="22"/>
      <w:szCs w:val="22"/>
      <w:lang w:val="en-GB" w:eastAsia="ar-SA"/>
    </w:rPr>
  </w:style>
  <w:style w:type="character" w:customStyle="1" w:styleId="Heading2Char">
    <w:name w:val="Heading 2 Char"/>
    <w:link w:val="Heading2"/>
    <w:uiPriority w:val="9"/>
    <w:semiHidden/>
    <w:rsid w:val="007060FF"/>
    <w:rPr>
      <w:rFonts w:ascii="Cambria" w:eastAsia="Times New Roman" w:hAnsi="Cambria" w:cs="Times New Roman"/>
      <w:b/>
      <w:bCs/>
      <w:i/>
      <w:iCs/>
      <w:sz w:val="28"/>
      <w:szCs w:val="28"/>
      <w:lang w:val="en-GB" w:eastAsia="ar-SA"/>
    </w:rPr>
  </w:style>
  <w:style w:type="paragraph" w:styleId="NormalWeb">
    <w:name w:val="Normal (Web)"/>
    <w:basedOn w:val="Normal"/>
    <w:uiPriority w:val="99"/>
    <w:unhideWhenUsed/>
    <w:rsid w:val="007060FF"/>
    <w:pPr>
      <w:suppressAutoHyphens w:val="0"/>
      <w:spacing w:after="15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3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2EE"/>
    <w:pPr>
      <w:ind w:left="720"/>
    </w:pPr>
  </w:style>
  <w:style w:type="paragraph" w:customStyle="1" w:styleId="Standard1">
    <w:name w:val="Standard1"/>
    <w:rsid w:val="00625817"/>
    <w:pPr>
      <w:spacing w:line="276" w:lineRule="auto"/>
    </w:pPr>
    <w:rPr>
      <w:rFonts w:ascii="Arial" w:eastAsia="Arial" w:hAnsi="Arial" w:cs="Arial"/>
      <w:color w:val="000000"/>
      <w:sz w:val="22"/>
      <w:szCs w:val="22"/>
    </w:rPr>
  </w:style>
  <w:style w:type="paragraph" w:customStyle="1" w:styleId="Standard2">
    <w:name w:val="Standard2"/>
    <w:rsid w:val="00F91E8C"/>
    <w:pPr>
      <w:spacing w:line="276" w:lineRule="auto"/>
    </w:pPr>
    <w:rPr>
      <w:rFonts w:ascii="Arial" w:eastAsia="Arial" w:hAnsi="Arial" w:cs="Arial"/>
      <w:color w:val="000000"/>
      <w:sz w:val="22"/>
      <w:szCs w:val="22"/>
    </w:rPr>
  </w:style>
  <w:style w:type="character" w:customStyle="1" w:styleId="BodyTextChar">
    <w:name w:val="Body Text Char"/>
    <w:basedOn w:val="DefaultParagraphFont"/>
    <w:link w:val="BodyText"/>
    <w:rsid w:val="00D00FFD"/>
    <w:rPr>
      <w:rFonts w:ascii="Calibri" w:eastAsia="SimSun" w:hAnsi="Calibri" w:cs="Tahoma"/>
      <w:sz w:val="22"/>
      <w:szCs w:val="22"/>
      <w:lang w:val="en-GB" w:eastAsia="ar-SA"/>
    </w:rPr>
  </w:style>
</w:styles>
</file>

<file path=word/webSettings.xml><?xml version="1.0" encoding="utf-8"?>
<w:webSettings xmlns:r="http://schemas.openxmlformats.org/officeDocument/2006/relationships" xmlns:w="http://schemas.openxmlformats.org/wordprocessingml/2006/main">
  <w:divs>
    <w:div w:id="173080624">
      <w:bodyDiv w:val="1"/>
      <w:marLeft w:val="0"/>
      <w:marRight w:val="0"/>
      <w:marTop w:val="0"/>
      <w:marBottom w:val="0"/>
      <w:divBdr>
        <w:top w:val="none" w:sz="0" w:space="0" w:color="auto"/>
        <w:left w:val="none" w:sz="0" w:space="0" w:color="auto"/>
        <w:bottom w:val="none" w:sz="0" w:space="0" w:color="auto"/>
        <w:right w:val="none" w:sz="0" w:space="0" w:color="auto"/>
      </w:divBdr>
      <w:divsChild>
        <w:div w:id="833885009">
          <w:marLeft w:val="0"/>
          <w:marRight w:val="0"/>
          <w:marTop w:val="0"/>
          <w:marBottom w:val="0"/>
          <w:divBdr>
            <w:top w:val="none" w:sz="0" w:space="0" w:color="auto"/>
            <w:left w:val="none" w:sz="0" w:space="0" w:color="auto"/>
            <w:bottom w:val="none" w:sz="0" w:space="0" w:color="auto"/>
            <w:right w:val="none" w:sz="0" w:space="0" w:color="auto"/>
          </w:divBdr>
          <w:divsChild>
            <w:div w:id="1330057672">
              <w:marLeft w:val="3900"/>
              <w:marRight w:val="0"/>
              <w:marTop w:val="0"/>
              <w:marBottom w:val="0"/>
              <w:divBdr>
                <w:top w:val="none" w:sz="0" w:space="0" w:color="auto"/>
                <w:left w:val="single" w:sz="6" w:space="0" w:color="B2B2B2"/>
                <w:bottom w:val="none" w:sz="0" w:space="0" w:color="auto"/>
                <w:right w:val="none" w:sz="0" w:space="0" w:color="auto"/>
              </w:divBdr>
              <w:divsChild>
                <w:div w:id="266474349">
                  <w:marLeft w:val="0"/>
                  <w:marRight w:val="0"/>
                  <w:marTop w:val="0"/>
                  <w:marBottom w:val="0"/>
                  <w:divBdr>
                    <w:top w:val="none" w:sz="0" w:space="0" w:color="auto"/>
                    <w:left w:val="none" w:sz="0" w:space="0" w:color="auto"/>
                    <w:bottom w:val="none" w:sz="0" w:space="0" w:color="auto"/>
                    <w:right w:val="none" w:sz="0" w:space="0" w:color="auto"/>
                  </w:divBdr>
                  <w:divsChild>
                    <w:div w:id="35080631">
                      <w:marLeft w:val="0"/>
                      <w:marRight w:val="0"/>
                      <w:marTop w:val="0"/>
                      <w:marBottom w:val="0"/>
                      <w:divBdr>
                        <w:top w:val="none" w:sz="0" w:space="0" w:color="auto"/>
                        <w:left w:val="none" w:sz="0" w:space="0" w:color="auto"/>
                        <w:bottom w:val="none" w:sz="0" w:space="0" w:color="auto"/>
                        <w:right w:val="none" w:sz="0" w:space="0" w:color="auto"/>
                      </w:divBdr>
                      <w:divsChild>
                        <w:div w:id="1318152069">
                          <w:marLeft w:val="0"/>
                          <w:marRight w:val="0"/>
                          <w:marTop w:val="0"/>
                          <w:marBottom w:val="0"/>
                          <w:divBdr>
                            <w:top w:val="none" w:sz="0" w:space="0" w:color="auto"/>
                            <w:left w:val="none" w:sz="0" w:space="0" w:color="auto"/>
                            <w:bottom w:val="none" w:sz="0" w:space="0" w:color="auto"/>
                            <w:right w:val="none" w:sz="0" w:space="0" w:color="auto"/>
                          </w:divBdr>
                          <w:divsChild>
                            <w:div w:id="10182728">
                              <w:marLeft w:val="0"/>
                              <w:marRight w:val="0"/>
                              <w:marTop w:val="0"/>
                              <w:marBottom w:val="0"/>
                              <w:divBdr>
                                <w:top w:val="none" w:sz="0" w:space="0" w:color="auto"/>
                                <w:left w:val="none" w:sz="0" w:space="0" w:color="auto"/>
                                <w:bottom w:val="none" w:sz="0" w:space="0" w:color="auto"/>
                                <w:right w:val="none" w:sz="0" w:space="0" w:color="auto"/>
                              </w:divBdr>
                              <w:divsChild>
                                <w:div w:id="310256245">
                                  <w:marLeft w:val="0"/>
                                  <w:marRight w:val="0"/>
                                  <w:marTop w:val="0"/>
                                  <w:marBottom w:val="0"/>
                                  <w:divBdr>
                                    <w:top w:val="none" w:sz="0" w:space="0" w:color="auto"/>
                                    <w:left w:val="none" w:sz="0" w:space="0" w:color="auto"/>
                                    <w:bottom w:val="none" w:sz="0" w:space="0" w:color="auto"/>
                                    <w:right w:val="none" w:sz="0" w:space="0" w:color="auto"/>
                                  </w:divBdr>
                                  <w:divsChild>
                                    <w:div w:id="434207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13852640">
                                          <w:marLeft w:val="0"/>
                                          <w:marRight w:val="0"/>
                                          <w:marTop w:val="0"/>
                                          <w:marBottom w:val="0"/>
                                          <w:divBdr>
                                            <w:top w:val="none" w:sz="0" w:space="0" w:color="auto"/>
                                            <w:left w:val="none" w:sz="0" w:space="0" w:color="auto"/>
                                            <w:bottom w:val="none" w:sz="0" w:space="0" w:color="auto"/>
                                            <w:right w:val="none" w:sz="0" w:space="0" w:color="auto"/>
                                          </w:divBdr>
                                          <w:divsChild>
                                            <w:div w:id="1174614098">
                                              <w:marLeft w:val="0"/>
                                              <w:marRight w:val="0"/>
                                              <w:marTop w:val="0"/>
                                              <w:marBottom w:val="0"/>
                                              <w:divBdr>
                                                <w:top w:val="none" w:sz="0" w:space="0" w:color="auto"/>
                                                <w:left w:val="none" w:sz="0" w:space="0" w:color="auto"/>
                                                <w:bottom w:val="none" w:sz="0" w:space="0" w:color="auto"/>
                                                <w:right w:val="none" w:sz="0" w:space="0" w:color="auto"/>
                                              </w:divBdr>
                                              <w:divsChild>
                                                <w:div w:id="51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8234">
                                                      <w:marLeft w:val="0"/>
                                                      <w:marRight w:val="0"/>
                                                      <w:marTop w:val="0"/>
                                                      <w:marBottom w:val="0"/>
                                                      <w:divBdr>
                                                        <w:top w:val="none" w:sz="0" w:space="0" w:color="auto"/>
                                                        <w:left w:val="none" w:sz="0" w:space="0" w:color="auto"/>
                                                        <w:bottom w:val="none" w:sz="0" w:space="0" w:color="auto"/>
                                                        <w:right w:val="none" w:sz="0" w:space="0" w:color="auto"/>
                                                      </w:divBdr>
                                                      <w:divsChild>
                                                        <w:div w:id="503938434">
                                                          <w:marLeft w:val="0"/>
                                                          <w:marRight w:val="0"/>
                                                          <w:marTop w:val="0"/>
                                                          <w:marBottom w:val="0"/>
                                                          <w:divBdr>
                                                            <w:top w:val="none" w:sz="0" w:space="0" w:color="auto"/>
                                                            <w:left w:val="none" w:sz="0" w:space="0" w:color="auto"/>
                                                            <w:bottom w:val="none" w:sz="0" w:space="0" w:color="auto"/>
                                                            <w:right w:val="none" w:sz="0" w:space="0" w:color="auto"/>
                                                          </w:divBdr>
                                                          <w:divsChild>
                                                            <w:div w:id="110052554">
                                                              <w:marLeft w:val="0"/>
                                                              <w:marRight w:val="0"/>
                                                              <w:marTop w:val="0"/>
                                                              <w:marBottom w:val="200"/>
                                                              <w:divBdr>
                                                                <w:top w:val="none" w:sz="0" w:space="0" w:color="auto"/>
                                                                <w:left w:val="none" w:sz="0" w:space="0" w:color="auto"/>
                                                                <w:bottom w:val="none" w:sz="0" w:space="0" w:color="auto"/>
                                                                <w:right w:val="none" w:sz="0" w:space="0" w:color="auto"/>
                                                              </w:divBdr>
                                                            </w:div>
                                                            <w:div w:id="273168987">
                                                              <w:marLeft w:val="0"/>
                                                              <w:marRight w:val="0"/>
                                                              <w:marTop w:val="0"/>
                                                              <w:marBottom w:val="0"/>
                                                              <w:divBdr>
                                                                <w:top w:val="none" w:sz="0" w:space="0" w:color="auto"/>
                                                                <w:left w:val="none" w:sz="0" w:space="0" w:color="auto"/>
                                                                <w:bottom w:val="none" w:sz="0" w:space="0" w:color="auto"/>
                                                                <w:right w:val="none" w:sz="0" w:space="0" w:color="auto"/>
                                                              </w:divBdr>
                                                              <w:divsChild>
                                                                <w:div w:id="2101487265">
                                                                  <w:marLeft w:val="0"/>
                                                                  <w:marRight w:val="0"/>
                                                                  <w:marTop w:val="0"/>
                                                                  <w:marBottom w:val="0"/>
                                                                  <w:divBdr>
                                                                    <w:top w:val="none" w:sz="0" w:space="0" w:color="auto"/>
                                                                    <w:left w:val="none" w:sz="0" w:space="0" w:color="auto"/>
                                                                    <w:bottom w:val="none" w:sz="0" w:space="0" w:color="auto"/>
                                                                    <w:right w:val="none" w:sz="0" w:space="0" w:color="auto"/>
                                                                  </w:divBdr>
                                                                </w:div>
                                                              </w:divsChild>
                                                            </w:div>
                                                            <w:div w:id="870343369">
                                                              <w:marLeft w:val="0"/>
                                                              <w:marRight w:val="0"/>
                                                              <w:marTop w:val="0"/>
                                                              <w:marBottom w:val="0"/>
                                                              <w:divBdr>
                                                                <w:top w:val="none" w:sz="0" w:space="0" w:color="auto"/>
                                                                <w:left w:val="none" w:sz="0" w:space="0" w:color="auto"/>
                                                                <w:bottom w:val="none" w:sz="0" w:space="0" w:color="auto"/>
                                                                <w:right w:val="none" w:sz="0" w:space="0" w:color="auto"/>
                                                              </w:divBdr>
                                                              <w:divsChild>
                                                                <w:div w:id="1223832814">
                                                                  <w:marLeft w:val="0"/>
                                                                  <w:marRight w:val="0"/>
                                                                  <w:marTop w:val="0"/>
                                                                  <w:marBottom w:val="0"/>
                                                                  <w:divBdr>
                                                                    <w:top w:val="none" w:sz="0" w:space="0" w:color="auto"/>
                                                                    <w:left w:val="none" w:sz="0" w:space="0" w:color="auto"/>
                                                                    <w:bottom w:val="none" w:sz="0" w:space="0" w:color="auto"/>
                                                                    <w:right w:val="none" w:sz="0" w:space="0" w:color="auto"/>
                                                                  </w:divBdr>
                                                                </w:div>
                                                              </w:divsChild>
                                                            </w:div>
                                                            <w:div w:id="1174686507">
                                                              <w:marLeft w:val="0"/>
                                                              <w:marRight w:val="0"/>
                                                              <w:marTop w:val="0"/>
                                                              <w:marBottom w:val="0"/>
                                                              <w:divBdr>
                                                                <w:top w:val="none" w:sz="0" w:space="0" w:color="auto"/>
                                                                <w:left w:val="none" w:sz="0" w:space="0" w:color="auto"/>
                                                                <w:bottom w:val="none" w:sz="0" w:space="0" w:color="auto"/>
                                                                <w:right w:val="none" w:sz="0" w:space="0" w:color="auto"/>
                                                              </w:divBdr>
                                                              <w:divsChild>
                                                                <w:div w:id="1124689816">
                                                                  <w:marLeft w:val="0"/>
                                                                  <w:marRight w:val="0"/>
                                                                  <w:marTop w:val="0"/>
                                                                  <w:marBottom w:val="0"/>
                                                                  <w:divBdr>
                                                                    <w:top w:val="none" w:sz="0" w:space="0" w:color="auto"/>
                                                                    <w:left w:val="none" w:sz="0" w:space="0" w:color="auto"/>
                                                                    <w:bottom w:val="none" w:sz="0" w:space="0" w:color="auto"/>
                                                                    <w:right w:val="none" w:sz="0" w:space="0" w:color="auto"/>
                                                                  </w:divBdr>
                                                                </w:div>
                                                              </w:divsChild>
                                                            </w:div>
                                                            <w:div w:id="1241670831">
                                                              <w:marLeft w:val="0"/>
                                                              <w:marRight w:val="0"/>
                                                              <w:marTop w:val="0"/>
                                                              <w:marBottom w:val="200"/>
                                                              <w:divBdr>
                                                                <w:top w:val="none" w:sz="0" w:space="0" w:color="auto"/>
                                                                <w:left w:val="none" w:sz="0" w:space="0" w:color="auto"/>
                                                                <w:bottom w:val="none" w:sz="0" w:space="0" w:color="auto"/>
                                                                <w:right w:val="none" w:sz="0" w:space="0" w:color="auto"/>
                                                              </w:divBdr>
                                                            </w:div>
                                                            <w:div w:id="1495146893">
                                                              <w:marLeft w:val="0"/>
                                                              <w:marRight w:val="0"/>
                                                              <w:marTop w:val="0"/>
                                                              <w:marBottom w:val="200"/>
                                                              <w:divBdr>
                                                                <w:top w:val="none" w:sz="0" w:space="0" w:color="auto"/>
                                                                <w:left w:val="none" w:sz="0" w:space="0" w:color="auto"/>
                                                                <w:bottom w:val="none" w:sz="0" w:space="0" w:color="auto"/>
                                                                <w:right w:val="none" w:sz="0" w:space="0" w:color="auto"/>
                                                              </w:divBdr>
                                                            </w:div>
                                                            <w:div w:id="1547722280">
                                                              <w:marLeft w:val="0"/>
                                                              <w:marRight w:val="0"/>
                                                              <w:marTop w:val="0"/>
                                                              <w:marBottom w:val="0"/>
                                                              <w:divBdr>
                                                                <w:top w:val="none" w:sz="0" w:space="0" w:color="auto"/>
                                                                <w:left w:val="none" w:sz="0" w:space="0" w:color="auto"/>
                                                                <w:bottom w:val="none" w:sz="0" w:space="0" w:color="auto"/>
                                                                <w:right w:val="none" w:sz="0" w:space="0" w:color="auto"/>
                                                              </w:divBdr>
                                                              <w:divsChild>
                                                                <w:div w:id="1678463124">
                                                                  <w:marLeft w:val="0"/>
                                                                  <w:marRight w:val="0"/>
                                                                  <w:marTop w:val="0"/>
                                                                  <w:marBottom w:val="0"/>
                                                                  <w:divBdr>
                                                                    <w:top w:val="none" w:sz="0" w:space="0" w:color="auto"/>
                                                                    <w:left w:val="none" w:sz="0" w:space="0" w:color="auto"/>
                                                                    <w:bottom w:val="none" w:sz="0" w:space="0" w:color="auto"/>
                                                                    <w:right w:val="none" w:sz="0" w:space="0" w:color="auto"/>
                                                                  </w:divBdr>
                                                                </w:div>
                                                              </w:divsChild>
                                                            </w:div>
                                                            <w:div w:id="1667172060">
                                                              <w:marLeft w:val="0"/>
                                                              <w:marRight w:val="0"/>
                                                              <w:marTop w:val="0"/>
                                                              <w:marBottom w:val="200"/>
                                                              <w:divBdr>
                                                                <w:top w:val="none" w:sz="0" w:space="0" w:color="auto"/>
                                                                <w:left w:val="none" w:sz="0" w:space="0" w:color="auto"/>
                                                                <w:bottom w:val="none" w:sz="0" w:space="0" w:color="auto"/>
                                                                <w:right w:val="none" w:sz="0" w:space="0" w:color="auto"/>
                                                              </w:divBdr>
                                                              <w:divsChild>
                                                                <w:div w:id="95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0745141">
      <w:bodyDiv w:val="1"/>
      <w:marLeft w:val="0"/>
      <w:marRight w:val="0"/>
      <w:marTop w:val="0"/>
      <w:marBottom w:val="7470"/>
      <w:divBdr>
        <w:top w:val="none" w:sz="0" w:space="0" w:color="auto"/>
        <w:left w:val="none" w:sz="0" w:space="0" w:color="auto"/>
        <w:bottom w:val="none" w:sz="0" w:space="0" w:color="auto"/>
        <w:right w:val="none" w:sz="0" w:space="0" w:color="auto"/>
      </w:divBdr>
      <w:divsChild>
        <w:div w:id="1946886056">
          <w:marLeft w:val="0"/>
          <w:marRight w:val="0"/>
          <w:marTop w:val="0"/>
          <w:marBottom w:val="0"/>
          <w:divBdr>
            <w:top w:val="none" w:sz="0" w:space="0" w:color="auto"/>
            <w:left w:val="none" w:sz="0" w:space="0" w:color="auto"/>
            <w:bottom w:val="none" w:sz="0" w:space="0" w:color="auto"/>
            <w:right w:val="none" w:sz="0" w:space="0" w:color="auto"/>
          </w:divBdr>
          <w:divsChild>
            <w:div w:id="1170752550">
              <w:marLeft w:val="0"/>
              <w:marRight w:val="0"/>
              <w:marTop w:val="0"/>
              <w:marBottom w:val="0"/>
              <w:divBdr>
                <w:top w:val="none" w:sz="0" w:space="0" w:color="auto"/>
                <w:left w:val="none" w:sz="0" w:space="0" w:color="auto"/>
                <w:bottom w:val="none" w:sz="0" w:space="0" w:color="auto"/>
                <w:right w:val="none" w:sz="0" w:space="0" w:color="auto"/>
              </w:divBdr>
              <w:divsChild>
                <w:div w:id="297342606">
                  <w:marLeft w:val="0"/>
                  <w:marRight w:val="0"/>
                  <w:marTop w:val="0"/>
                  <w:marBottom w:val="0"/>
                  <w:divBdr>
                    <w:top w:val="none" w:sz="0" w:space="0" w:color="auto"/>
                    <w:left w:val="none" w:sz="0" w:space="0" w:color="auto"/>
                    <w:bottom w:val="none" w:sz="0" w:space="0" w:color="auto"/>
                    <w:right w:val="none" w:sz="0" w:space="0" w:color="auto"/>
                  </w:divBdr>
                  <w:divsChild>
                    <w:div w:id="2137867810">
                      <w:marLeft w:val="0"/>
                      <w:marRight w:val="0"/>
                      <w:marTop w:val="0"/>
                      <w:marBottom w:val="0"/>
                      <w:divBdr>
                        <w:top w:val="none" w:sz="0" w:space="0" w:color="auto"/>
                        <w:left w:val="none" w:sz="0" w:space="0" w:color="auto"/>
                        <w:bottom w:val="none" w:sz="0" w:space="0" w:color="auto"/>
                        <w:right w:val="none" w:sz="0" w:space="0" w:color="auto"/>
                      </w:divBdr>
                      <w:divsChild>
                        <w:div w:id="1759206760">
                          <w:marLeft w:val="0"/>
                          <w:marRight w:val="0"/>
                          <w:marTop w:val="0"/>
                          <w:marBottom w:val="0"/>
                          <w:divBdr>
                            <w:top w:val="none" w:sz="0" w:space="0" w:color="auto"/>
                            <w:left w:val="none" w:sz="0" w:space="0" w:color="auto"/>
                            <w:bottom w:val="none" w:sz="0" w:space="0" w:color="auto"/>
                            <w:right w:val="none" w:sz="0" w:space="0" w:color="auto"/>
                          </w:divBdr>
                          <w:divsChild>
                            <w:div w:id="1741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7085">
      <w:bodyDiv w:val="1"/>
      <w:marLeft w:val="0"/>
      <w:marRight w:val="0"/>
      <w:marTop w:val="0"/>
      <w:marBottom w:val="0"/>
      <w:divBdr>
        <w:top w:val="none" w:sz="0" w:space="0" w:color="auto"/>
        <w:left w:val="none" w:sz="0" w:space="0" w:color="auto"/>
        <w:bottom w:val="none" w:sz="0" w:space="0" w:color="auto"/>
        <w:right w:val="none" w:sz="0" w:space="0" w:color="auto"/>
      </w:divBdr>
    </w:div>
    <w:div w:id="372728523">
      <w:bodyDiv w:val="1"/>
      <w:marLeft w:val="0"/>
      <w:marRight w:val="0"/>
      <w:marTop w:val="0"/>
      <w:marBottom w:val="0"/>
      <w:divBdr>
        <w:top w:val="none" w:sz="0" w:space="0" w:color="auto"/>
        <w:left w:val="none" w:sz="0" w:space="0" w:color="auto"/>
        <w:bottom w:val="none" w:sz="0" w:space="0" w:color="auto"/>
        <w:right w:val="none" w:sz="0" w:space="0" w:color="auto"/>
      </w:divBdr>
    </w:div>
    <w:div w:id="690689665">
      <w:bodyDiv w:val="1"/>
      <w:marLeft w:val="0"/>
      <w:marRight w:val="0"/>
      <w:marTop w:val="0"/>
      <w:marBottom w:val="0"/>
      <w:divBdr>
        <w:top w:val="none" w:sz="0" w:space="0" w:color="auto"/>
        <w:left w:val="none" w:sz="0" w:space="0" w:color="auto"/>
        <w:bottom w:val="none" w:sz="0" w:space="0" w:color="auto"/>
        <w:right w:val="none" w:sz="0" w:space="0" w:color="auto"/>
      </w:divBdr>
    </w:div>
    <w:div w:id="859124883">
      <w:bodyDiv w:val="1"/>
      <w:marLeft w:val="0"/>
      <w:marRight w:val="0"/>
      <w:marTop w:val="0"/>
      <w:marBottom w:val="0"/>
      <w:divBdr>
        <w:top w:val="none" w:sz="0" w:space="0" w:color="auto"/>
        <w:left w:val="none" w:sz="0" w:space="0" w:color="auto"/>
        <w:bottom w:val="none" w:sz="0" w:space="0" w:color="auto"/>
        <w:right w:val="none" w:sz="0" w:space="0" w:color="auto"/>
      </w:divBdr>
    </w:div>
    <w:div w:id="1079669769">
      <w:bodyDiv w:val="1"/>
      <w:marLeft w:val="0"/>
      <w:marRight w:val="0"/>
      <w:marTop w:val="0"/>
      <w:marBottom w:val="0"/>
      <w:divBdr>
        <w:top w:val="none" w:sz="0" w:space="0" w:color="auto"/>
        <w:left w:val="none" w:sz="0" w:space="0" w:color="auto"/>
        <w:bottom w:val="none" w:sz="0" w:space="0" w:color="auto"/>
        <w:right w:val="none" w:sz="0" w:space="0" w:color="auto"/>
      </w:divBdr>
      <w:divsChild>
        <w:div w:id="1266770829">
          <w:marLeft w:val="0"/>
          <w:marRight w:val="0"/>
          <w:marTop w:val="0"/>
          <w:marBottom w:val="0"/>
          <w:divBdr>
            <w:top w:val="none" w:sz="0" w:space="0" w:color="auto"/>
            <w:left w:val="none" w:sz="0" w:space="0" w:color="auto"/>
            <w:bottom w:val="none" w:sz="0" w:space="0" w:color="auto"/>
            <w:right w:val="none" w:sz="0" w:space="0" w:color="auto"/>
          </w:divBdr>
          <w:divsChild>
            <w:div w:id="1107195571">
              <w:marLeft w:val="0"/>
              <w:marRight w:val="0"/>
              <w:marTop w:val="0"/>
              <w:marBottom w:val="0"/>
              <w:divBdr>
                <w:top w:val="none" w:sz="0" w:space="0" w:color="auto"/>
                <w:left w:val="none" w:sz="0" w:space="0" w:color="auto"/>
                <w:bottom w:val="none" w:sz="0" w:space="0" w:color="auto"/>
                <w:right w:val="none" w:sz="0" w:space="0" w:color="auto"/>
              </w:divBdr>
              <w:divsChild>
                <w:div w:id="657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3201">
      <w:bodyDiv w:val="1"/>
      <w:marLeft w:val="0"/>
      <w:marRight w:val="0"/>
      <w:marTop w:val="0"/>
      <w:marBottom w:val="0"/>
      <w:divBdr>
        <w:top w:val="none" w:sz="0" w:space="0" w:color="auto"/>
        <w:left w:val="none" w:sz="0" w:space="0" w:color="auto"/>
        <w:bottom w:val="none" w:sz="0" w:space="0" w:color="auto"/>
        <w:right w:val="none" w:sz="0" w:space="0" w:color="auto"/>
      </w:divBdr>
    </w:div>
    <w:div w:id="1555581699">
      <w:bodyDiv w:val="1"/>
      <w:marLeft w:val="0"/>
      <w:marRight w:val="0"/>
      <w:marTop w:val="0"/>
      <w:marBottom w:val="0"/>
      <w:divBdr>
        <w:top w:val="none" w:sz="0" w:space="0" w:color="auto"/>
        <w:left w:val="none" w:sz="0" w:space="0" w:color="auto"/>
        <w:bottom w:val="none" w:sz="0" w:space="0" w:color="auto"/>
        <w:right w:val="none" w:sz="0" w:space="0" w:color="auto"/>
      </w:divBdr>
    </w:div>
    <w:div w:id="1576279584">
      <w:bodyDiv w:val="1"/>
      <w:marLeft w:val="0"/>
      <w:marRight w:val="0"/>
      <w:marTop w:val="0"/>
      <w:marBottom w:val="0"/>
      <w:divBdr>
        <w:top w:val="none" w:sz="0" w:space="0" w:color="auto"/>
        <w:left w:val="none" w:sz="0" w:space="0" w:color="auto"/>
        <w:bottom w:val="none" w:sz="0" w:space="0" w:color="auto"/>
        <w:right w:val="none" w:sz="0" w:space="0" w:color="auto"/>
      </w:divBdr>
    </w:div>
    <w:div w:id="1620181054">
      <w:bodyDiv w:val="1"/>
      <w:marLeft w:val="0"/>
      <w:marRight w:val="0"/>
      <w:marTop w:val="0"/>
      <w:marBottom w:val="0"/>
      <w:divBdr>
        <w:top w:val="none" w:sz="0" w:space="0" w:color="auto"/>
        <w:left w:val="none" w:sz="0" w:space="0" w:color="auto"/>
        <w:bottom w:val="none" w:sz="0" w:space="0" w:color="auto"/>
        <w:right w:val="none" w:sz="0" w:space="0" w:color="auto"/>
      </w:divBdr>
    </w:div>
    <w:div w:id="1622834215">
      <w:bodyDiv w:val="1"/>
      <w:marLeft w:val="0"/>
      <w:marRight w:val="0"/>
      <w:marTop w:val="0"/>
      <w:marBottom w:val="0"/>
      <w:divBdr>
        <w:top w:val="none" w:sz="0" w:space="0" w:color="auto"/>
        <w:left w:val="none" w:sz="0" w:space="0" w:color="auto"/>
        <w:bottom w:val="none" w:sz="0" w:space="0" w:color="auto"/>
        <w:right w:val="none" w:sz="0" w:space="0" w:color="auto"/>
      </w:divBdr>
    </w:div>
    <w:div w:id="1690333467">
      <w:bodyDiv w:val="1"/>
      <w:marLeft w:val="0"/>
      <w:marRight w:val="0"/>
      <w:marTop w:val="0"/>
      <w:marBottom w:val="0"/>
      <w:divBdr>
        <w:top w:val="none" w:sz="0" w:space="0" w:color="auto"/>
        <w:left w:val="none" w:sz="0" w:space="0" w:color="auto"/>
        <w:bottom w:val="none" w:sz="0" w:space="0" w:color="auto"/>
        <w:right w:val="none" w:sz="0" w:space="0" w:color="auto"/>
      </w:divBdr>
    </w:div>
    <w:div w:id="1749182050">
      <w:bodyDiv w:val="1"/>
      <w:marLeft w:val="0"/>
      <w:marRight w:val="0"/>
      <w:marTop w:val="0"/>
      <w:marBottom w:val="0"/>
      <w:divBdr>
        <w:top w:val="none" w:sz="0" w:space="0" w:color="auto"/>
        <w:left w:val="none" w:sz="0" w:space="0" w:color="auto"/>
        <w:bottom w:val="none" w:sz="0" w:space="0" w:color="auto"/>
        <w:right w:val="none" w:sz="0" w:space="0" w:color="auto"/>
      </w:divBdr>
    </w:div>
    <w:div w:id="1989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thway.co.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onia@soniarehil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C615-3FC0-4055-85EE-A1F5B09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6831</CharactersWithSpaces>
  <SharedDoc>false</SharedDoc>
  <HLinks>
    <vt:vector size="18" baseType="variant">
      <vt:variant>
        <vt:i4>851980</vt:i4>
      </vt:variant>
      <vt:variant>
        <vt:i4>6</vt:i4>
      </vt:variant>
      <vt:variant>
        <vt:i4>0</vt:i4>
      </vt:variant>
      <vt:variant>
        <vt:i4>5</vt:i4>
      </vt:variant>
      <vt:variant>
        <vt:lpwstr>http://www.4thway.co.uk/</vt:lpwstr>
      </vt:variant>
      <vt:variant>
        <vt:lpwstr/>
      </vt:variant>
      <vt:variant>
        <vt:i4>786493</vt:i4>
      </vt:variant>
      <vt:variant>
        <vt:i4>3</vt:i4>
      </vt:variant>
      <vt:variant>
        <vt:i4>0</vt:i4>
      </vt:variant>
      <vt:variant>
        <vt:i4>5</vt:i4>
      </vt:variant>
      <vt:variant>
        <vt:lpwstr>mailto:Sonia@soniarehill.com</vt:lpwstr>
      </vt:variant>
      <vt:variant>
        <vt:lpwstr/>
      </vt:variant>
      <vt:variant>
        <vt:i4>6160460</vt:i4>
      </vt:variant>
      <vt:variant>
        <vt:i4>0</vt:i4>
      </vt:variant>
      <vt:variant>
        <vt:i4>0</vt:i4>
      </vt:variant>
      <vt:variant>
        <vt:i4>5</vt:i4>
      </vt:variant>
      <vt:variant>
        <vt:lpwstr>https://www.equities.com/news/r-a-b-b-i-t-report-this-startup-could-be-the-morningstar-of-marketplace-lending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3</cp:revision>
  <cp:lastPrinted>1899-12-31T23:00:00Z</cp:lastPrinted>
  <dcterms:created xsi:type="dcterms:W3CDTF">2017-03-06T10:45:00Z</dcterms:created>
  <dcterms:modified xsi:type="dcterms:W3CDTF">2017-03-06T10:51:00Z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